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9E891" w14:textId="77777777" w:rsidR="00130645" w:rsidRDefault="00130645">
      <w:pPr>
        <w:jc w:val="center"/>
        <w:rPr>
          <w:b/>
          <w:sz w:val="28"/>
        </w:rPr>
      </w:pPr>
      <w:bookmarkStart w:id="0" w:name="_GoBack"/>
      <w:bookmarkEnd w:id="0"/>
    </w:p>
    <w:p w14:paraId="0AF82369" w14:textId="7C6ED13A" w:rsidR="0093762F" w:rsidRPr="00130645" w:rsidRDefault="005936AB">
      <w:pPr>
        <w:jc w:val="center"/>
        <w:rPr>
          <w:b/>
          <w:sz w:val="28"/>
        </w:rPr>
      </w:pPr>
      <w:r w:rsidRPr="00130645">
        <w:rPr>
          <w:b/>
          <w:sz w:val="28"/>
        </w:rPr>
        <w:t>Gui</w:t>
      </w:r>
      <w:r w:rsidR="00B37D97">
        <w:rPr>
          <w:b/>
          <w:sz w:val="28"/>
        </w:rPr>
        <w:t>de d’utilisation du modèle « ln-</w:t>
      </w:r>
      <w:r w:rsidRPr="00130645">
        <w:rPr>
          <w:b/>
          <w:sz w:val="28"/>
        </w:rPr>
        <w:t>linéaire généralisé »</w:t>
      </w:r>
      <w:r w:rsidR="00C8434F" w:rsidRPr="00130645">
        <w:rPr>
          <w:b/>
          <w:sz w:val="28"/>
        </w:rPr>
        <w:t xml:space="preserve">, outil développé </w:t>
      </w:r>
      <w:r w:rsidR="00836576">
        <w:rPr>
          <w:b/>
          <w:sz w:val="28"/>
        </w:rPr>
        <w:t>pour</w:t>
      </w:r>
      <w:r w:rsidR="0093762F" w:rsidRPr="00130645">
        <w:rPr>
          <w:b/>
          <w:sz w:val="28"/>
        </w:rPr>
        <w:t xml:space="preserve"> le traitement des données du suivi </w:t>
      </w:r>
      <w:r w:rsidR="0093762F" w:rsidRPr="00130645">
        <w:rPr>
          <w:b/>
          <w:i/>
          <w:sz w:val="28"/>
        </w:rPr>
        <w:t>in situ</w:t>
      </w:r>
      <w:r w:rsidR="0093762F" w:rsidRPr="00130645">
        <w:rPr>
          <w:b/>
          <w:sz w:val="28"/>
        </w:rPr>
        <w:t xml:space="preserve"> des installations d’ANC (Boutin et </w:t>
      </w:r>
      <w:r w:rsidR="0093762F" w:rsidRPr="00601BAD">
        <w:rPr>
          <w:b/>
          <w:i/>
          <w:sz w:val="28"/>
        </w:rPr>
        <w:t>al</w:t>
      </w:r>
      <w:r w:rsidR="00601BAD" w:rsidRPr="00601BAD">
        <w:rPr>
          <w:b/>
          <w:i/>
          <w:sz w:val="28"/>
        </w:rPr>
        <w:t>.</w:t>
      </w:r>
      <w:r w:rsidR="0093762F" w:rsidRPr="00130645">
        <w:rPr>
          <w:b/>
          <w:sz w:val="28"/>
        </w:rPr>
        <w:t>, 2017)</w:t>
      </w:r>
      <w:r w:rsidR="00836576">
        <w:rPr>
          <w:b/>
          <w:sz w:val="28"/>
        </w:rPr>
        <w:t xml:space="preserve"> en collaboration avec Yves Le Gat </w:t>
      </w:r>
      <w:r w:rsidR="008136F6">
        <w:rPr>
          <w:b/>
          <w:sz w:val="28"/>
        </w:rPr>
        <w:t>(</w:t>
      </w:r>
      <w:r w:rsidR="00836576">
        <w:rPr>
          <w:b/>
          <w:sz w:val="28"/>
        </w:rPr>
        <w:t xml:space="preserve">INRAE </w:t>
      </w:r>
      <w:r w:rsidR="008136F6" w:rsidRPr="008136F6">
        <w:rPr>
          <w:b/>
          <w:sz w:val="28"/>
        </w:rPr>
        <w:t>Nouvelle-Aquitaine Bordeaux</w:t>
      </w:r>
      <w:r w:rsidR="008136F6">
        <w:rPr>
          <w:b/>
          <w:sz w:val="28"/>
        </w:rPr>
        <w:t>)</w:t>
      </w:r>
    </w:p>
    <w:p w14:paraId="410B84B6" w14:textId="36ABB661" w:rsidR="00130645" w:rsidRDefault="00130645" w:rsidP="00130645">
      <w:pPr>
        <w:rPr>
          <w:b/>
          <w:sz w:val="24"/>
        </w:rPr>
      </w:pPr>
    </w:p>
    <w:p w14:paraId="7AA41DC5" w14:textId="77777777" w:rsidR="00130645" w:rsidRDefault="00130645">
      <w:pPr>
        <w:jc w:val="center"/>
        <w:rPr>
          <w:b/>
          <w:sz w:val="24"/>
        </w:rPr>
      </w:pPr>
    </w:p>
    <w:sdt>
      <w:sdtPr>
        <w:rPr>
          <w:rFonts w:asciiTheme="minorHAnsi" w:eastAsiaTheme="minorHAnsi" w:hAnsiTheme="minorHAnsi" w:cstheme="minorBidi"/>
          <w:color w:val="auto"/>
          <w:sz w:val="22"/>
          <w:szCs w:val="22"/>
          <w:lang w:eastAsia="en-US"/>
        </w:rPr>
        <w:id w:val="742760677"/>
        <w:docPartObj>
          <w:docPartGallery w:val="Table of Contents"/>
          <w:docPartUnique/>
        </w:docPartObj>
      </w:sdtPr>
      <w:sdtEndPr>
        <w:rPr>
          <w:b/>
          <w:bCs/>
        </w:rPr>
      </w:sdtEndPr>
      <w:sdtContent>
        <w:p w14:paraId="373419D2" w14:textId="7F7844F8" w:rsidR="00AA2A10" w:rsidRPr="00130645" w:rsidRDefault="007D5A79">
          <w:pPr>
            <w:pStyle w:val="En-ttedetabledesmatires"/>
            <w:rPr>
              <w:color w:val="auto"/>
            </w:rPr>
          </w:pPr>
          <w:r w:rsidRPr="00130645">
            <w:rPr>
              <w:color w:val="auto"/>
            </w:rPr>
            <w:t>Sommaire</w:t>
          </w:r>
        </w:p>
        <w:p w14:paraId="43FAC93E" w14:textId="77777777" w:rsidR="007D5A79" w:rsidRPr="007D5A79" w:rsidRDefault="007D5A79" w:rsidP="007D5A79">
          <w:pPr>
            <w:rPr>
              <w:lang w:eastAsia="fr-FR"/>
            </w:rPr>
          </w:pPr>
        </w:p>
        <w:p w14:paraId="21213CE7" w14:textId="55079003" w:rsidR="005451F8" w:rsidRPr="005451F8" w:rsidRDefault="00AA2A10">
          <w:pPr>
            <w:pStyle w:val="TM1"/>
            <w:tabs>
              <w:tab w:val="left" w:pos="440"/>
              <w:tab w:val="right" w:leader="dot" w:pos="10456"/>
            </w:tabs>
            <w:rPr>
              <w:rFonts w:eastAsiaTheme="minorEastAsia"/>
              <w:b/>
              <w:noProof/>
              <w:lang w:eastAsia="fr-FR"/>
            </w:rPr>
          </w:pPr>
          <w:r>
            <w:fldChar w:fldCharType="begin"/>
          </w:r>
          <w:r>
            <w:instrText xml:space="preserve"> TOC \o "1-3" \h \z \u </w:instrText>
          </w:r>
          <w:r>
            <w:fldChar w:fldCharType="separate"/>
          </w:r>
          <w:hyperlink w:anchor="_Toc63065727" w:history="1">
            <w:r w:rsidR="005451F8" w:rsidRPr="005451F8">
              <w:rPr>
                <w:rStyle w:val="Lienhypertexte"/>
                <w:rFonts w:ascii="Wingdings" w:hAnsi="Wingdings" w:cs="Wingdings"/>
                <w:b/>
                <w:noProof/>
              </w:rPr>
              <w:t></w:t>
            </w:r>
            <w:r w:rsidR="005451F8" w:rsidRPr="005451F8">
              <w:rPr>
                <w:rFonts w:eastAsiaTheme="minorEastAsia"/>
                <w:b/>
                <w:noProof/>
                <w:lang w:eastAsia="fr-FR"/>
              </w:rPr>
              <w:tab/>
            </w:r>
            <w:r w:rsidR="005451F8" w:rsidRPr="005451F8">
              <w:rPr>
                <w:rStyle w:val="Lienhypertexte"/>
                <w:b/>
                <w:noProof/>
              </w:rPr>
              <w:t>Création du modèle « ln-linéaire généralisé » adapté à l’existence de données censurées</w:t>
            </w:r>
            <w:r w:rsidR="005451F8" w:rsidRPr="005451F8">
              <w:rPr>
                <w:b/>
                <w:noProof/>
                <w:webHidden/>
              </w:rPr>
              <w:tab/>
            </w:r>
            <w:r w:rsidR="005451F8" w:rsidRPr="005451F8">
              <w:rPr>
                <w:b/>
                <w:noProof/>
                <w:webHidden/>
              </w:rPr>
              <w:fldChar w:fldCharType="begin"/>
            </w:r>
            <w:r w:rsidR="005451F8" w:rsidRPr="005451F8">
              <w:rPr>
                <w:b/>
                <w:noProof/>
                <w:webHidden/>
              </w:rPr>
              <w:instrText xml:space="preserve"> PAGEREF _Toc63065727 \h </w:instrText>
            </w:r>
            <w:r w:rsidR="005451F8" w:rsidRPr="005451F8">
              <w:rPr>
                <w:b/>
                <w:noProof/>
                <w:webHidden/>
              </w:rPr>
            </w:r>
            <w:r w:rsidR="005451F8" w:rsidRPr="005451F8">
              <w:rPr>
                <w:b/>
                <w:noProof/>
                <w:webHidden/>
              </w:rPr>
              <w:fldChar w:fldCharType="separate"/>
            </w:r>
            <w:r w:rsidR="005451F8" w:rsidRPr="005451F8">
              <w:rPr>
                <w:b/>
                <w:noProof/>
                <w:webHidden/>
              </w:rPr>
              <w:t>2</w:t>
            </w:r>
            <w:r w:rsidR="005451F8" w:rsidRPr="005451F8">
              <w:rPr>
                <w:b/>
                <w:noProof/>
                <w:webHidden/>
              </w:rPr>
              <w:fldChar w:fldCharType="end"/>
            </w:r>
          </w:hyperlink>
        </w:p>
        <w:p w14:paraId="132A2A0F" w14:textId="48287BC8" w:rsidR="005451F8" w:rsidRPr="005451F8" w:rsidRDefault="005D4B95">
          <w:pPr>
            <w:pStyle w:val="TM1"/>
            <w:tabs>
              <w:tab w:val="left" w:pos="440"/>
              <w:tab w:val="right" w:leader="dot" w:pos="10456"/>
            </w:tabs>
            <w:rPr>
              <w:rFonts w:eastAsiaTheme="minorEastAsia"/>
              <w:b/>
              <w:noProof/>
              <w:lang w:eastAsia="fr-FR"/>
            </w:rPr>
          </w:pPr>
          <w:hyperlink w:anchor="_Toc63065728" w:history="1">
            <w:r w:rsidR="005451F8" w:rsidRPr="005451F8">
              <w:rPr>
                <w:rStyle w:val="Lienhypertexte"/>
                <w:rFonts w:ascii="Wingdings" w:hAnsi="Wingdings" w:cs="Wingdings"/>
                <w:b/>
                <w:noProof/>
              </w:rPr>
              <w:t></w:t>
            </w:r>
            <w:r w:rsidR="005451F8" w:rsidRPr="005451F8">
              <w:rPr>
                <w:rFonts w:eastAsiaTheme="minorEastAsia"/>
                <w:b/>
                <w:noProof/>
                <w:lang w:eastAsia="fr-FR"/>
              </w:rPr>
              <w:tab/>
            </w:r>
            <w:r w:rsidR="005451F8" w:rsidRPr="005451F8">
              <w:rPr>
                <w:rStyle w:val="Lienhypertexte"/>
                <w:b/>
                <w:noProof/>
              </w:rPr>
              <w:t xml:space="preserve">Exemple de l’application du modèle « ln-linéaire généralisé » aux données du suivi </w:t>
            </w:r>
            <w:r w:rsidR="005451F8" w:rsidRPr="005451F8">
              <w:rPr>
                <w:rStyle w:val="Lienhypertexte"/>
                <w:b/>
                <w:i/>
                <w:noProof/>
              </w:rPr>
              <w:t>in situ</w:t>
            </w:r>
            <w:r w:rsidR="005451F8" w:rsidRPr="005451F8">
              <w:rPr>
                <w:b/>
                <w:noProof/>
                <w:webHidden/>
              </w:rPr>
              <w:tab/>
            </w:r>
            <w:r w:rsidR="005451F8" w:rsidRPr="005451F8">
              <w:rPr>
                <w:b/>
                <w:noProof/>
                <w:webHidden/>
              </w:rPr>
              <w:fldChar w:fldCharType="begin"/>
            </w:r>
            <w:r w:rsidR="005451F8" w:rsidRPr="005451F8">
              <w:rPr>
                <w:b/>
                <w:noProof/>
                <w:webHidden/>
              </w:rPr>
              <w:instrText xml:space="preserve"> PAGEREF _Toc63065728 \h </w:instrText>
            </w:r>
            <w:r w:rsidR="005451F8" w:rsidRPr="005451F8">
              <w:rPr>
                <w:b/>
                <w:noProof/>
                <w:webHidden/>
              </w:rPr>
            </w:r>
            <w:r w:rsidR="005451F8" w:rsidRPr="005451F8">
              <w:rPr>
                <w:b/>
                <w:noProof/>
                <w:webHidden/>
              </w:rPr>
              <w:fldChar w:fldCharType="separate"/>
            </w:r>
            <w:r w:rsidR="005451F8" w:rsidRPr="005451F8">
              <w:rPr>
                <w:b/>
                <w:noProof/>
                <w:webHidden/>
              </w:rPr>
              <w:t>3</w:t>
            </w:r>
            <w:r w:rsidR="005451F8" w:rsidRPr="005451F8">
              <w:rPr>
                <w:b/>
                <w:noProof/>
                <w:webHidden/>
              </w:rPr>
              <w:fldChar w:fldCharType="end"/>
            </w:r>
          </w:hyperlink>
        </w:p>
        <w:p w14:paraId="539C4782" w14:textId="11383512" w:rsidR="005451F8" w:rsidRPr="005451F8" w:rsidRDefault="005D4B95">
          <w:pPr>
            <w:pStyle w:val="TM1"/>
            <w:tabs>
              <w:tab w:val="left" w:pos="440"/>
              <w:tab w:val="right" w:leader="dot" w:pos="10456"/>
            </w:tabs>
            <w:rPr>
              <w:rFonts w:eastAsiaTheme="minorEastAsia"/>
              <w:b/>
              <w:noProof/>
              <w:lang w:eastAsia="fr-FR"/>
            </w:rPr>
          </w:pPr>
          <w:hyperlink w:anchor="_Toc63065729" w:history="1">
            <w:r w:rsidR="005451F8" w:rsidRPr="005451F8">
              <w:rPr>
                <w:rStyle w:val="Lienhypertexte"/>
                <w:rFonts w:ascii="Wingdings" w:hAnsi="Wingdings" w:cs="Wingdings"/>
                <w:b/>
                <w:noProof/>
              </w:rPr>
              <w:t></w:t>
            </w:r>
            <w:r w:rsidR="005451F8" w:rsidRPr="005451F8">
              <w:rPr>
                <w:rFonts w:eastAsiaTheme="minorEastAsia"/>
                <w:b/>
                <w:noProof/>
                <w:lang w:eastAsia="fr-FR"/>
              </w:rPr>
              <w:tab/>
            </w:r>
            <w:r w:rsidR="005451F8" w:rsidRPr="005451F8">
              <w:rPr>
                <w:rStyle w:val="Lienhypertexte"/>
                <w:b/>
                <w:noProof/>
              </w:rPr>
              <w:t xml:space="preserve">Utilisation pratique à partir d’un autre cas d’étude que le suivi </w:t>
            </w:r>
            <w:r w:rsidR="005451F8" w:rsidRPr="005451F8">
              <w:rPr>
                <w:rStyle w:val="Lienhypertexte"/>
                <w:b/>
                <w:i/>
                <w:noProof/>
              </w:rPr>
              <w:t>in situ</w:t>
            </w:r>
            <w:r w:rsidR="005451F8" w:rsidRPr="005451F8">
              <w:rPr>
                <w:b/>
                <w:noProof/>
                <w:webHidden/>
              </w:rPr>
              <w:tab/>
            </w:r>
            <w:r w:rsidR="005451F8" w:rsidRPr="005451F8">
              <w:rPr>
                <w:b/>
                <w:noProof/>
                <w:webHidden/>
              </w:rPr>
              <w:fldChar w:fldCharType="begin"/>
            </w:r>
            <w:r w:rsidR="005451F8" w:rsidRPr="005451F8">
              <w:rPr>
                <w:b/>
                <w:noProof/>
                <w:webHidden/>
              </w:rPr>
              <w:instrText xml:space="preserve"> PAGEREF _Toc63065729 \h </w:instrText>
            </w:r>
            <w:r w:rsidR="005451F8" w:rsidRPr="005451F8">
              <w:rPr>
                <w:b/>
                <w:noProof/>
                <w:webHidden/>
              </w:rPr>
            </w:r>
            <w:r w:rsidR="005451F8" w:rsidRPr="005451F8">
              <w:rPr>
                <w:b/>
                <w:noProof/>
                <w:webHidden/>
              </w:rPr>
              <w:fldChar w:fldCharType="separate"/>
            </w:r>
            <w:r w:rsidR="005451F8" w:rsidRPr="005451F8">
              <w:rPr>
                <w:b/>
                <w:noProof/>
                <w:webHidden/>
              </w:rPr>
              <w:t>6</w:t>
            </w:r>
            <w:r w:rsidR="005451F8" w:rsidRPr="005451F8">
              <w:rPr>
                <w:b/>
                <w:noProof/>
                <w:webHidden/>
              </w:rPr>
              <w:fldChar w:fldCharType="end"/>
            </w:r>
          </w:hyperlink>
        </w:p>
        <w:p w14:paraId="2D7019B3" w14:textId="48C80C60" w:rsidR="005451F8" w:rsidRDefault="005D4B95">
          <w:pPr>
            <w:pStyle w:val="TM2"/>
            <w:tabs>
              <w:tab w:val="right" w:leader="dot" w:pos="10456"/>
            </w:tabs>
            <w:rPr>
              <w:rFonts w:eastAsiaTheme="minorEastAsia"/>
              <w:noProof/>
              <w:lang w:eastAsia="fr-FR"/>
            </w:rPr>
          </w:pPr>
          <w:hyperlink w:anchor="_Toc63065730" w:history="1">
            <w:r w:rsidR="005451F8" w:rsidRPr="004D6121">
              <w:rPr>
                <w:rStyle w:val="Lienhypertexte"/>
                <w:noProof/>
              </w:rPr>
              <w:t>Script de base à utiliser</w:t>
            </w:r>
            <w:r w:rsidR="005451F8">
              <w:rPr>
                <w:noProof/>
                <w:webHidden/>
              </w:rPr>
              <w:tab/>
            </w:r>
            <w:r w:rsidR="005451F8">
              <w:rPr>
                <w:noProof/>
                <w:webHidden/>
              </w:rPr>
              <w:fldChar w:fldCharType="begin"/>
            </w:r>
            <w:r w:rsidR="005451F8">
              <w:rPr>
                <w:noProof/>
                <w:webHidden/>
              </w:rPr>
              <w:instrText xml:space="preserve"> PAGEREF _Toc63065730 \h </w:instrText>
            </w:r>
            <w:r w:rsidR="005451F8">
              <w:rPr>
                <w:noProof/>
                <w:webHidden/>
              </w:rPr>
            </w:r>
            <w:r w:rsidR="005451F8">
              <w:rPr>
                <w:noProof/>
                <w:webHidden/>
              </w:rPr>
              <w:fldChar w:fldCharType="separate"/>
            </w:r>
            <w:r w:rsidR="005451F8">
              <w:rPr>
                <w:noProof/>
                <w:webHidden/>
              </w:rPr>
              <w:t>6</w:t>
            </w:r>
            <w:r w:rsidR="005451F8">
              <w:rPr>
                <w:noProof/>
                <w:webHidden/>
              </w:rPr>
              <w:fldChar w:fldCharType="end"/>
            </w:r>
          </w:hyperlink>
        </w:p>
        <w:p w14:paraId="4096A8D7" w14:textId="7DDAC23B" w:rsidR="005451F8" w:rsidRDefault="005D4B95">
          <w:pPr>
            <w:pStyle w:val="TM2"/>
            <w:tabs>
              <w:tab w:val="right" w:leader="dot" w:pos="10456"/>
            </w:tabs>
            <w:rPr>
              <w:rFonts w:eastAsiaTheme="minorEastAsia"/>
              <w:noProof/>
              <w:lang w:eastAsia="fr-FR"/>
            </w:rPr>
          </w:pPr>
          <w:hyperlink w:anchor="_Toc63065731" w:history="1">
            <w:r w:rsidR="005451F8" w:rsidRPr="004D6121">
              <w:rPr>
                <w:rStyle w:val="Lienhypertexte"/>
                <w:noProof/>
              </w:rPr>
              <w:t>Données d’entrée à fournir au script</w:t>
            </w:r>
            <w:r w:rsidR="005451F8">
              <w:rPr>
                <w:noProof/>
                <w:webHidden/>
              </w:rPr>
              <w:tab/>
            </w:r>
            <w:r w:rsidR="005451F8">
              <w:rPr>
                <w:noProof/>
                <w:webHidden/>
              </w:rPr>
              <w:fldChar w:fldCharType="begin"/>
            </w:r>
            <w:r w:rsidR="005451F8">
              <w:rPr>
                <w:noProof/>
                <w:webHidden/>
              </w:rPr>
              <w:instrText xml:space="preserve"> PAGEREF _Toc63065731 \h </w:instrText>
            </w:r>
            <w:r w:rsidR="005451F8">
              <w:rPr>
                <w:noProof/>
                <w:webHidden/>
              </w:rPr>
            </w:r>
            <w:r w:rsidR="005451F8">
              <w:rPr>
                <w:noProof/>
                <w:webHidden/>
              </w:rPr>
              <w:fldChar w:fldCharType="separate"/>
            </w:r>
            <w:r w:rsidR="005451F8">
              <w:rPr>
                <w:noProof/>
                <w:webHidden/>
              </w:rPr>
              <w:t>6</w:t>
            </w:r>
            <w:r w:rsidR="005451F8">
              <w:rPr>
                <w:noProof/>
                <w:webHidden/>
              </w:rPr>
              <w:fldChar w:fldCharType="end"/>
            </w:r>
          </w:hyperlink>
        </w:p>
        <w:p w14:paraId="6ED81E83" w14:textId="0A4132E6" w:rsidR="005451F8" w:rsidRDefault="005D4B95">
          <w:pPr>
            <w:pStyle w:val="TM2"/>
            <w:tabs>
              <w:tab w:val="right" w:leader="dot" w:pos="10456"/>
            </w:tabs>
            <w:rPr>
              <w:rFonts w:eastAsiaTheme="minorEastAsia"/>
              <w:noProof/>
              <w:lang w:eastAsia="fr-FR"/>
            </w:rPr>
          </w:pPr>
          <w:hyperlink w:anchor="_Toc63065732" w:history="1">
            <w:r w:rsidR="005451F8" w:rsidRPr="004D6121">
              <w:rPr>
                <w:rStyle w:val="Lienhypertexte"/>
                <w:noProof/>
              </w:rPr>
              <w:t>Utilisation du script</w:t>
            </w:r>
            <w:r w:rsidR="005451F8">
              <w:rPr>
                <w:noProof/>
                <w:webHidden/>
              </w:rPr>
              <w:tab/>
            </w:r>
            <w:r w:rsidR="005451F8">
              <w:rPr>
                <w:noProof/>
                <w:webHidden/>
              </w:rPr>
              <w:fldChar w:fldCharType="begin"/>
            </w:r>
            <w:r w:rsidR="005451F8">
              <w:rPr>
                <w:noProof/>
                <w:webHidden/>
              </w:rPr>
              <w:instrText xml:space="preserve"> PAGEREF _Toc63065732 \h </w:instrText>
            </w:r>
            <w:r w:rsidR="005451F8">
              <w:rPr>
                <w:noProof/>
                <w:webHidden/>
              </w:rPr>
            </w:r>
            <w:r w:rsidR="005451F8">
              <w:rPr>
                <w:noProof/>
                <w:webHidden/>
              </w:rPr>
              <w:fldChar w:fldCharType="separate"/>
            </w:r>
            <w:r w:rsidR="005451F8">
              <w:rPr>
                <w:noProof/>
                <w:webHidden/>
              </w:rPr>
              <w:t>6</w:t>
            </w:r>
            <w:r w:rsidR="005451F8">
              <w:rPr>
                <w:noProof/>
                <w:webHidden/>
              </w:rPr>
              <w:fldChar w:fldCharType="end"/>
            </w:r>
          </w:hyperlink>
        </w:p>
        <w:p w14:paraId="741782B2" w14:textId="78C3D8F1" w:rsidR="005451F8" w:rsidRDefault="005D4B95">
          <w:pPr>
            <w:pStyle w:val="TM2"/>
            <w:tabs>
              <w:tab w:val="right" w:leader="dot" w:pos="10456"/>
            </w:tabs>
            <w:rPr>
              <w:rFonts w:eastAsiaTheme="minorEastAsia"/>
              <w:noProof/>
              <w:lang w:eastAsia="fr-FR"/>
            </w:rPr>
          </w:pPr>
          <w:hyperlink w:anchor="_Toc63065733" w:history="1">
            <w:r w:rsidR="005451F8" w:rsidRPr="004D6121">
              <w:rPr>
                <w:rStyle w:val="Lienhypertexte"/>
                <w:noProof/>
              </w:rPr>
              <w:t>Point de vigilance</w:t>
            </w:r>
            <w:r w:rsidR="005451F8">
              <w:rPr>
                <w:noProof/>
                <w:webHidden/>
              </w:rPr>
              <w:tab/>
            </w:r>
            <w:r w:rsidR="005451F8">
              <w:rPr>
                <w:noProof/>
                <w:webHidden/>
              </w:rPr>
              <w:fldChar w:fldCharType="begin"/>
            </w:r>
            <w:r w:rsidR="005451F8">
              <w:rPr>
                <w:noProof/>
                <w:webHidden/>
              </w:rPr>
              <w:instrText xml:space="preserve"> PAGEREF _Toc63065733 \h </w:instrText>
            </w:r>
            <w:r w:rsidR="005451F8">
              <w:rPr>
                <w:noProof/>
                <w:webHidden/>
              </w:rPr>
            </w:r>
            <w:r w:rsidR="005451F8">
              <w:rPr>
                <w:noProof/>
                <w:webHidden/>
              </w:rPr>
              <w:fldChar w:fldCharType="separate"/>
            </w:r>
            <w:r w:rsidR="005451F8">
              <w:rPr>
                <w:noProof/>
                <w:webHidden/>
              </w:rPr>
              <w:t>10</w:t>
            </w:r>
            <w:r w:rsidR="005451F8">
              <w:rPr>
                <w:noProof/>
                <w:webHidden/>
              </w:rPr>
              <w:fldChar w:fldCharType="end"/>
            </w:r>
          </w:hyperlink>
        </w:p>
        <w:p w14:paraId="44FDD149" w14:textId="77F91EC7" w:rsidR="005451F8" w:rsidRDefault="005D4B95">
          <w:pPr>
            <w:pStyle w:val="TM2"/>
            <w:tabs>
              <w:tab w:val="right" w:leader="dot" w:pos="10456"/>
            </w:tabs>
            <w:rPr>
              <w:rFonts w:eastAsiaTheme="minorEastAsia"/>
              <w:noProof/>
              <w:lang w:eastAsia="fr-FR"/>
            </w:rPr>
          </w:pPr>
          <w:hyperlink w:anchor="_Toc63065734" w:history="1">
            <w:r w:rsidR="005451F8" w:rsidRPr="004D6121">
              <w:rPr>
                <w:rStyle w:val="Lienhypertexte"/>
                <w:noProof/>
              </w:rPr>
              <w:t>Interprétation des résultats</w:t>
            </w:r>
            <w:r w:rsidR="005451F8">
              <w:rPr>
                <w:noProof/>
                <w:webHidden/>
              </w:rPr>
              <w:tab/>
            </w:r>
            <w:r w:rsidR="005451F8">
              <w:rPr>
                <w:noProof/>
                <w:webHidden/>
              </w:rPr>
              <w:fldChar w:fldCharType="begin"/>
            </w:r>
            <w:r w:rsidR="005451F8">
              <w:rPr>
                <w:noProof/>
                <w:webHidden/>
              </w:rPr>
              <w:instrText xml:space="preserve"> PAGEREF _Toc63065734 \h </w:instrText>
            </w:r>
            <w:r w:rsidR="005451F8">
              <w:rPr>
                <w:noProof/>
                <w:webHidden/>
              </w:rPr>
            </w:r>
            <w:r w:rsidR="005451F8">
              <w:rPr>
                <w:noProof/>
                <w:webHidden/>
              </w:rPr>
              <w:fldChar w:fldCharType="separate"/>
            </w:r>
            <w:r w:rsidR="005451F8">
              <w:rPr>
                <w:noProof/>
                <w:webHidden/>
              </w:rPr>
              <w:t>10</w:t>
            </w:r>
            <w:r w:rsidR="005451F8">
              <w:rPr>
                <w:noProof/>
                <w:webHidden/>
              </w:rPr>
              <w:fldChar w:fldCharType="end"/>
            </w:r>
          </w:hyperlink>
        </w:p>
        <w:p w14:paraId="5852C9A4" w14:textId="4CAEF5D0" w:rsidR="005451F8" w:rsidRPr="005451F8" w:rsidRDefault="005D4B95">
          <w:pPr>
            <w:pStyle w:val="TM2"/>
            <w:tabs>
              <w:tab w:val="right" w:leader="dot" w:pos="10456"/>
            </w:tabs>
            <w:rPr>
              <w:rFonts w:eastAsiaTheme="minorEastAsia"/>
              <w:b/>
              <w:noProof/>
              <w:lang w:eastAsia="fr-FR"/>
            </w:rPr>
          </w:pPr>
          <w:hyperlink w:anchor="_Toc63065735" w:history="1">
            <w:r w:rsidR="005451F8" w:rsidRPr="004D6121">
              <w:rPr>
                <w:rStyle w:val="Lienhypertexte"/>
                <w:noProof/>
              </w:rPr>
              <w:t>Autre exemple avec des effets conjoints, c’est à dire plusieurs effets simultanés identifiés</w:t>
            </w:r>
            <w:r w:rsidR="005451F8">
              <w:rPr>
                <w:noProof/>
                <w:webHidden/>
              </w:rPr>
              <w:tab/>
            </w:r>
            <w:r w:rsidR="005451F8">
              <w:rPr>
                <w:noProof/>
                <w:webHidden/>
              </w:rPr>
              <w:fldChar w:fldCharType="begin"/>
            </w:r>
            <w:r w:rsidR="005451F8">
              <w:rPr>
                <w:noProof/>
                <w:webHidden/>
              </w:rPr>
              <w:instrText xml:space="preserve"> PAGEREF _Toc63065735 \h </w:instrText>
            </w:r>
            <w:r w:rsidR="005451F8">
              <w:rPr>
                <w:noProof/>
                <w:webHidden/>
              </w:rPr>
            </w:r>
            <w:r w:rsidR="005451F8">
              <w:rPr>
                <w:noProof/>
                <w:webHidden/>
              </w:rPr>
              <w:fldChar w:fldCharType="separate"/>
            </w:r>
            <w:r w:rsidR="005451F8">
              <w:rPr>
                <w:noProof/>
                <w:webHidden/>
              </w:rPr>
              <w:t>12</w:t>
            </w:r>
            <w:r w:rsidR="005451F8">
              <w:rPr>
                <w:noProof/>
                <w:webHidden/>
              </w:rPr>
              <w:fldChar w:fldCharType="end"/>
            </w:r>
          </w:hyperlink>
        </w:p>
        <w:p w14:paraId="7B0E7689" w14:textId="030E0674" w:rsidR="005451F8" w:rsidRPr="005451F8" w:rsidRDefault="005D4B95">
          <w:pPr>
            <w:pStyle w:val="TM1"/>
            <w:tabs>
              <w:tab w:val="left" w:pos="440"/>
              <w:tab w:val="right" w:leader="dot" w:pos="10456"/>
            </w:tabs>
            <w:rPr>
              <w:rFonts w:eastAsiaTheme="minorEastAsia"/>
              <w:b/>
              <w:noProof/>
              <w:lang w:eastAsia="fr-FR"/>
            </w:rPr>
          </w:pPr>
          <w:hyperlink w:anchor="_Toc63065736" w:history="1">
            <w:r w:rsidR="005451F8" w:rsidRPr="005451F8">
              <w:rPr>
                <w:rStyle w:val="Lienhypertexte"/>
                <w:rFonts w:ascii="Wingdings" w:hAnsi="Wingdings" w:cs="Wingdings"/>
                <w:b/>
                <w:noProof/>
              </w:rPr>
              <w:t></w:t>
            </w:r>
            <w:r w:rsidR="005451F8" w:rsidRPr="005451F8">
              <w:rPr>
                <w:rFonts w:eastAsiaTheme="minorEastAsia"/>
                <w:b/>
                <w:noProof/>
                <w:lang w:eastAsia="fr-FR"/>
              </w:rPr>
              <w:tab/>
            </w:r>
            <w:r w:rsidR="005451F8" w:rsidRPr="005451F8">
              <w:rPr>
                <w:rStyle w:val="Lienhypertexte"/>
                <w:b/>
                <w:noProof/>
              </w:rPr>
              <w:t>Utilisation de la version développée sous R-Shiny</w:t>
            </w:r>
            <w:r w:rsidR="005451F8" w:rsidRPr="005451F8">
              <w:rPr>
                <w:b/>
                <w:noProof/>
                <w:webHidden/>
              </w:rPr>
              <w:tab/>
            </w:r>
            <w:r w:rsidR="005451F8" w:rsidRPr="005451F8">
              <w:rPr>
                <w:b/>
                <w:noProof/>
                <w:webHidden/>
              </w:rPr>
              <w:fldChar w:fldCharType="begin"/>
            </w:r>
            <w:r w:rsidR="005451F8" w:rsidRPr="005451F8">
              <w:rPr>
                <w:b/>
                <w:noProof/>
                <w:webHidden/>
              </w:rPr>
              <w:instrText xml:space="preserve"> PAGEREF _Toc63065736 \h </w:instrText>
            </w:r>
            <w:r w:rsidR="005451F8" w:rsidRPr="005451F8">
              <w:rPr>
                <w:b/>
                <w:noProof/>
                <w:webHidden/>
              </w:rPr>
            </w:r>
            <w:r w:rsidR="005451F8" w:rsidRPr="005451F8">
              <w:rPr>
                <w:b/>
                <w:noProof/>
                <w:webHidden/>
              </w:rPr>
              <w:fldChar w:fldCharType="separate"/>
            </w:r>
            <w:r w:rsidR="005451F8" w:rsidRPr="005451F8">
              <w:rPr>
                <w:b/>
                <w:noProof/>
                <w:webHidden/>
              </w:rPr>
              <w:t>13</w:t>
            </w:r>
            <w:r w:rsidR="005451F8" w:rsidRPr="005451F8">
              <w:rPr>
                <w:b/>
                <w:noProof/>
                <w:webHidden/>
              </w:rPr>
              <w:fldChar w:fldCharType="end"/>
            </w:r>
          </w:hyperlink>
        </w:p>
        <w:p w14:paraId="64CF681A" w14:textId="07C163E0" w:rsidR="00AA2A10" w:rsidRDefault="00AA2A10">
          <w:r>
            <w:rPr>
              <w:b/>
              <w:bCs/>
            </w:rPr>
            <w:fldChar w:fldCharType="end"/>
          </w:r>
        </w:p>
      </w:sdtContent>
    </w:sdt>
    <w:p w14:paraId="612459FE" w14:textId="0517033C" w:rsidR="00D435FE" w:rsidRDefault="00D435FE"/>
    <w:p w14:paraId="5EE3C13A" w14:textId="6278C342" w:rsidR="00130645" w:rsidRDefault="00130645"/>
    <w:p w14:paraId="4DE7981D" w14:textId="48C361E8" w:rsidR="00130645" w:rsidRDefault="00130645"/>
    <w:p w14:paraId="0A8FE52A" w14:textId="77777777" w:rsidR="00130645" w:rsidRDefault="00130645"/>
    <w:p w14:paraId="47D97D93" w14:textId="2962CC13" w:rsidR="00130645" w:rsidRDefault="00130645">
      <w:pPr>
        <w:rPr>
          <w:rFonts w:asciiTheme="majorHAnsi" w:hAnsiTheme="majorHAnsi" w:cstheme="majorHAnsi"/>
          <w:sz w:val="32"/>
        </w:rPr>
      </w:pPr>
      <w:r w:rsidRPr="00130645">
        <w:rPr>
          <w:rFonts w:asciiTheme="majorHAnsi" w:hAnsiTheme="majorHAnsi" w:cstheme="majorHAnsi"/>
          <w:sz w:val="32"/>
        </w:rPr>
        <w:t>Bibliographie</w:t>
      </w:r>
    </w:p>
    <w:p w14:paraId="4E3BAE99" w14:textId="2E33F8B8" w:rsidR="00130645" w:rsidRDefault="009100C0" w:rsidP="006964E3">
      <w:pPr>
        <w:pStyle w:val="Notedebasdepage"/>
        <w:spacing w:before="240" w:line="276" w:lineRule="auto"/>
        <w:rPr>
          <w:rStyle w:val="LienInternet"/>
          <w:rFonts w:asciiTheme="minorHAnsi" w:hAnsiTheme="minorHAnsi" w:cstheme="minorHAnsi"/>
          <w:sz w:val="22"/>
        </w:rPr>
      </w:pPr>
      <w:r w:rsidRPr="009100C0">
        <w:rPr>
          <w:rFonts w:asciiTheme="minorHAnsi" w:hAnsiTheme="minorHAnsi" w:cstheme="minorHAnsi"/>
          <w:sz w:val="22"/>
        </w:rPr>
        <w:t xml:space="preserve">BOUTIN C., OLIVIER L., AGENET Ph., PARISI S., ARTUIT P., BRANCHU Ph., DECOUT A., DUBOIS V., 818 DUBOURG L., DHUMEAUX D., JOUSSE S., LEVAL C., MOULINE B., PORTIER N., RAMBERT C., SOULIAC 819 L. et SZABO C. </w:t>
      </w:r>
      <w:r>
        <w:rPr>
          <w:rFonts w:asciiTheme="minorHAnsi" w:hAnsiTheme="minorHAnsi" w:cstheme="minorHAnsi"/>
          <w:sz w:val="22"/>
          <w:lang w:val="fr-FR"/>
        </w:rPr>
        <w:t>(</w:t>
      </w:r>
      <w:r w:rsidR="00130645" w:rsidRPr="00130645">
        <w:rPr>
          <w:rFonts w:asciiTheme="minorHAnsi" w:hAnsiTheme="minorHAnsi" w:cstheme="minorHAnsi"/>
          <w:sz w:val="22"/>
        </w:rPr>
        <w:t>2017</w:t>
      </w:r>
      <w:r>
        <w:rPr>
          <w:rFonts w:asciiTheme="minorHAnsi" w:hAnsiTheme="minorHAnsi" w:cstheme="minorHAnsi"/>
          <w:sz w:val="22"/>
          <w:lang w:val="fr-FR"/>
        </w:rPr>
        <w:t>) :</w:t>
      </w:r>
      <w:r w:rsidR="00130645" w:rsidRPr="00130645">
        <w:rPr>
          <w:rFonts w:asciiTheme="minorHAnsi" w:hAnsiTheme="minorHAnsi" w:cstheme="minorHAnsi"/>
          <w:sz w:val="22"/>
        </w:rPr>
        <w:t xml:space="preserve"> </w:t>
      </w:r>
      <w:r>
        <w:rPr>
          <w:rFonts w:asciiTheme="minorHAnsi" w:hAnsiTheme="minorHAnsi" w:cstheme="minorHAnsi"/>
          <w:sz w:val="22"/>
        </w:rPr>
        <w:br/>
      </w:r>
      <w:r w:rsidR="00130645" w:rsidRPr="00130645">
        <w:rPr>
          <w:rFonts w:asciiTheme="minorHAnsi" w:hAnsiTheme="minorHAnsi" w:cstheme="minorHAnsi"/>
          <w:sz w:val="22"/>
        </w:rPr>
        <w:t xml:space="preserve">« Assainissement non collectif : Le suivi </w:t>
      </w:r>
      <w:r w:rsidR="00130645" w:rsidRPr="00130645">
        <w:rPr>
          <w:rFonts w:asciiTheme="minorHAnsi" w:hAnsiTheme="minorHAnsi" w:cstheme="minorHAnsi"/>
          <w:i/>
          <w:sz w:val="22"/>
        </w:rPr>
        <w:t>in situ</w:t>
      </w:r>
      <w:r w:rsidR="00130645" w:rsidRPr="00130645">
        <w:rPr>
          <w:rFonts w:asciiTheme="minorHAnsi" w:hAnsiTheme="minorHAnsi" w:cstheme="minorHAnsi"/>
          <w:sz w:val="22"/>
        </w:rPr>
        <w:t xml:space="preserve"> des installations de 2011 à 2016 » Rapport final 186 p., disponible en ligne : </w:t>
      </w:r>
      <w:hyperlink r:id="rId8">
        <w:r w:rsidR="00130645" w:rsidRPr="00130645">
          <w:rPr>
            <w:rStyle w:val="LienInternet"/>
            <w:rFonts w:asciiTheme="minorHAnsi" w:hAnsiTheme="minorHAnsi" w:cstheme="minorHAnsi"/>
            <w:sz w:val="22"/>
          </w:rPr>
          <w:t>hal-02606167v1</w:t>
        </w:r>
      </w:hyperlink>
    </w:p>
    <w:p w14:paraId="16139F82" w14:textId="1AD96A9C" w:rsidR="00130645" w:rsidRDefault="00130645" w:rsidP="00130645">
      <w:pPr>
        <w:pStyle w:val="Notedebasdepage"/>
        <w:spacing w:line="276" w:lineRule="auto"/>
        <w:rPr>
          <w:rStyle w:val="LienInternet"/>
          <w:rFonts w:asciiTheme="minorHAnsi" w:hAnsiTheme="minorHAnsi" w:cstheme="minorHAnsi"/>
          <w:sz w:val="22"/>
        </w:rPr>
      </w:pPr>
    </w:p>
    <w:p w14:paraId="36F037A7" w14:textId="5CB1DB39" w:rsidR="00130645" w:rsidRPr="00E47983" w:rsidRDefault="00130645" w:rsidP="00130645">
      <w:pPr>
        <w:spacing w:before="120" w:after="120" w:line="360" w:lineRule="auto"/>
        <w:jc w:val="both"/>
        <w:rPr>
          <w:rFonts w:ascii="Arial" w:hAnsi="Arial" w:cs="Arial"/>
          <w:sz w:val="20"/>
          <w:szCs w:val="20"/>
          <w:lang w:val="en-US"/>
        </w:rPr>
      </w:pPr>
      <w:r w:rsidRPr="00F60505">
        <w:rPr>
          <w:rFonts w:ascii="Arial" w:hAnsi="Arial" w:cs="Arial"/>
          <w:sz w:val="20"/>
          <w:szCs w:val="20"/>
        </w:rPr>
        <w:t>NELDER J. A., WEDDERBURN R. W. M. (1972)</w:t>
      </w:r>
      <w:r w:rsidR="009100C0">
        <w:rPr>
          <w:rFonts w:ascii="Arial" w:hAnsi="Arial" w:cs="Arial"/>
          <w:sz w:val="20"/>
          <w:szCs w:val="20"/>
        </w:rPr>
        <w:t xml:space="preserve"> </w:t>
      </w:r>
      <w:r w:rsidRPr="00F60505">
        <w:rPr>
          <w:rFonts w:ascii="Arial" w:hAnsi="Arial" w:cs="Arial"/>
          <w:sz w:val="20"/>
          <w:szCs w:val="20"/>
        </w:rPr>
        <w:t>: «</w:t>
      </w:r>
      <w:r>
        <w:rPr>
          <w:rFonts w:ascii="Arial" w:hAnsi="Arial" w:cs="Arial"/>
          <w:sz w:val="20"/>
          <w:szCs w:val="20"/>
        </w:rPr>
        <w:t xml:space="preserve"> </w:t>
      </w:r>
      <w:r w:rsidRPr="00F60505">
        <w:rPr>
          <w:rFonts w:ascii="Arial" w:hAnsi="Arial" w:cs="Arial"/>
          <w:sz w:val="20"/>
          <w:szCs w:val="20"/>
        </w:rPr>
        <w:t xml:space="preserve">Modèles linéaires généralisés. » </w:t>
      </w:r>
      <w:r w:rsidRPr="00E47983">
        <w:rPr>
          <w:rFonts w:ascii="Arial" w:hAnsi="Arial" w:cs="Arial"/>
          <w:i/>
          <w:sz w:val="20"/>
          <w:szCs w:val="20"/>
          <w:lang w:val="en-US"/>
        </w:rPr>
        <w:t>Journal of the Royal Statistical Society</w:t>
      </w:r>
      <w:r w:rsidRPr="00E47983">
        <w:rPr>
          <w:rFonts w:ascii="Arial" w:hAnsi="Arial" w:cs="Arial"/>
          <w:sz w:val="20"/>
          <w:szCs w:val="20"/>
          <w:lang w:val="en-US"/>
        </w:rPr>
        <w:t>; 135, 370-384.</w:t>
      </w:r>
    </w:p>
    <w:p w14:paraId="3296741C" w14:textId="77777777" w:rsidR="00130645" w:rsidRPr="00130645" w:rsidRDefault="00130645" w:rsidP="00130645">
      <w:pPr>
        <w:pStyle w:val="Notedebasdepage"/>
        <w:spacing w:line="276" w:lineRule="auto"/>
        <w:rPr>
          <w:rFonts w:asciiTheme="minorHAnsi" w:hAnsiTheme="minorHAnsi" w:cstheme="minorHAnsi"/>
          <w:color w:val="0000FF"/>
          <w:sz w:val="22"/>
          <w:u w:val="single"/>
        </w:rPr>
      </w:pPr>
    </w:p>
    <w:p w14:paraId="4A9D5AFC" w14:textId="77777777" w:rsidR="00D435FE" w:rsidRDefault="00D435FE">
      <w:pPr>
        <w:rPr>
          <w:b/>
          <w:color w:val="002060"/>
          <w:sz w:val="24"/>
        </w:rPr>
      </w:pPr>
    </w:p>
    <w:p w14:paraId="1A7B85DC" w14:textId="77777777" w:rsidR="00130645" w:rsidRDefault="00130645">
      <w:pPr>
        <w:spacing w:after="0" w:line="240" w:lineRule="auto"/>
        <w:rPr>
          <w:rFonts w:cs="Arial"/>
          <w:b/>
          <w:sz w:val="24"/>
          <w:szCs w:val="20"/>
        </w:rPr>
      </w:pPr>
      <w:r>
        <w:br w:type="page"/>
      </w:r>
    </w:p>
    <w:p w14:paraId="11B85D1A" w14:textId="3893D5BD" w:rsidR="00D435FE" w:rsidRPr="00AA2A10" w:rsidRDefault="005936AB" w:rsidP="00AA2A10">
      <w:pPr>
        <w:pStyle w:val="Titre1"/>
      </w:pPr>
      <w:bookmarkStart w:id="1" w:name="_Toc63065727"/>
      <w:r w:rsidRPr="00AA2A10">
        <w:lastRenderedPageBreak/>
        <w:t>Création du modèle « ln-linéaire généralisé » adapté à l’existence de données censurées</w:t>
      </w:r>
      <w:bookmarkEnd w:id="1"/>
    </w:p>
    <w:p w14:paraId="68D862F8" w14:textId="77777777" w:rsidR="00D435FE" w:rsidRDefault="00D435FE">
      <w:pPr>
        <w:widowControl w:val="0"/>
        <w:spacing w:after="0" w:line="276" w:lineRule="auto"/>
        <w:ind w:left="360"/>
        <w:jc w:val="both"/>
        <w:rPr>
          <w:rFonts w:cs="Arial"/>
          <w:b/>
          <w:szCs w:val="20"/>
        </w:rPr>
      </w:pPr>
    </w:p>
    <w:p w14:paraId="5059AA98" w14:textId="77777777" w:rsidR="00D435FE" w:rsidRDefault="005936AB">
      <w:pPr>
        <w:spacing w:line="276" w:lineRule="auto"/>
        <w:jc w:val="both"/>
        <w:rPr>
          <w:rFonts w:cs="Arial"/>
          <w:iCs/>
          <w:szCs w:val="20"/>
        </w:rPr>
      </w:pPr>
      <w:r>
        <w:rPr>
          <w:rFonts w:cs="Arial"/>
          <w:iCs/>
          <w:szCs w:val="20"/>
        </w:rPr>
        <w:t xml:space="preserve">Le modèle </w:t>
      </w:r>
      <w:r>
        <w:rPr>
          <w:rFonts w:cs="Arial"/>
          <w:szCs w:val="20"/>
        </w:rPr>
        <w:t xml:space="preserve">« ln-linéaire généralisé » a été créé pour répondre à la présence de données censurées dans un jeu de données à étudier, par exemple du fait des limites de quantification (LQ) des appareils de mesure </w:t>
      </w:r>
      <w:r>
        <w:rPr>
          <w:rFonts w:cs="Arial"/>
          <w:iCs/>
          <w:szCs w:val="20"/>
        </w:rPr>
        <w:t>qui indiquent le seuil en dessous duquel la grandeur mesurée n’est plus quantifiable.</w:t>
      </w:r>
    </w:p>
    <w:p w14:paraId="1AF275A4" w14:textId="77777777" w:rsidR="00D435FE" w:rsidRDefault="005936AB">
      <w:pPr>
        <w:spacing w:line="276" w:lineRule="auto"/>
        <w:jc w:val="both"/>
        <w:rPr>
          <w:rFonts w:cs="Arial"/>
          <w:iCs/>
          <w:szCs w:val="20"/>
        </w:rPr>
      </w:pPr>
      <w:r>
        <w:rPr>
          <w:rFonts w:cs="Arial"/>
          <w:iCs/>
          <w:szCs w:val="20"/>
        </w:rPr>
        <w:t xml:space="preserve">La censure à gauche, dans le langage des statisticiens, est un concept théorique permettant de transformer les données basses tout en les maintenant dans le jeu de données. Les outils statistiques utilisés pour l’analyse des données censurées ont été développés, en grande majorité, pour la médecine et l’épidémiologie (Catherine Hill, 2009). Cependant, les concepts et méthodes ont une portée générale et peuvent être utilisés dans d’autres domaines. </w:t>
      </w:r>
    </w:p>
    <w:p w14:paraId="6297E80C" w14:textId="77777777" w:rsidR="00D435FE" w:rsidRDefault="005936AB">
      <w:pPr>
        <w:spacing w:line="276" w:lineRule="auto"/>
        <w:jc w:val="both"/>
        <w:rPr>
          <w:rFonts w:cs="Arial"/>
          <w:iCs/>
          <w:szCs w:val="20"/>
        </w:rPr>
      </w:pPr>
      <w:r>
        <w:rPr>
          <w:rFonts w:cs="Arial"/>
          <w:iCs/>
          <w:szCs w:val="20"/>
        </w:rPr>
        <w:t xml:space="preserve">Il existe trois types de censures : la censure à gauche, la censure à droite et la censure par intervalle. Les données sont dites « censurées à gauche » lorsqu’elles se trouvent en dessous d’un seuil défini. Les données « censurées à droite » sont supérieures à un seuil fixé, et les données « censurées par intervalle » se trouvent comprises entre une borne inférieure et une borne supérieure. </w:t>
      </w:r>
    </w:p>
    <w:p w14:paraId="78ADFB88" w14:textId="77777777" w:rsidR="00D435FE" w:rsidRDefault="005936AB">
      <w:pPr>
        <w:spacing w:line="276" w:lineRule="auto"/>
        <w:jc w:val="both"/>
        <w:rPr>
          <w:rFonts w:cs="Arial"/>
          <w:iCs/>
          <w:szCs w:val="20"/>
        </w:rPr>
      </w:pPr>
      <w:r>
        <w:rPr>
          <w:rFonts w:cs="Arial"/>
          <w:iCs/>
          <w:szCs w:val="20"/>
        </w:rPr>
        <w:t xml:space="preserve">Ici, les données </w:t>
      </w:r>
      <w:r w:rsidRPr="00AA2A10">
        <w:rPr>
          <w:rFonts w:cs="Arial"/>
          <w:b/>
          <w:iCs/>
          <w:szCs w:val="20"/>
        </w:rPr>
        <w:t>« censurées à gauche »</w:t>
      </w:r>
      <w:r>
        <w:rPr>
          <w:rFonts w:cs="Arial"/>
          <w:iCs/>
          <w:szCs w:val="20"/>
        </w:rPr>
        <w:t xml:space="preserve"> sont celles inférieures à la LQ, et toutes les données inférieures à la LQ sont remplacées par un intervalle : [0 ; LQ].</w:t>
      </w:r>
    </w:p>
    <w:p w14:paraId="4597952E" w14:textId="77777777" w:rsidR="00D435FE" w:rsidRDefault="005936AB">
      <w:pPr>
        <w:spacing w:before="120" w:after="120" w:line="276" w:lineRule="auto"/>
        <w:jc w:val="both"/>
        <w:rPr>
          <w:rFonts w:cstheme="minorHAnsi"/>
          <w:szCs w:val="20"/>
        </w:rPr>
      </w:pPr>
      <w:r>
        <w:rPr>
          <w:rFonts w:cstheme="minorHAnsi"/>
          <w:szCs w:val="20"/>
        </w:rPr>
        <w:t xml:space="preserve">Les modèles linéaires généralisés (GLiM) ont été introduits par NELDER et WEDDERBURN [1972] comme un outil probabiliste flexible permettant de modéliser la distribution des données observées en fonction de facteurs explicatifs. </w:t>
      </w:r>
    </w:p>
    <w:p w14:paraId="6342DA74" w14:textId="77777777" w:rsidR="00D435FE" w:rsidRDefault="005936AB">
      <w:pPr>
        <w:spacing w:before="120" w:after="120" w:line="276" w:lineRule="auto"/>
        <w:jc w:val="both"/>
        <w:rPr>
          <w:rFonts w:cstheme="minorHAnsi"/>
          <w:szCs w:val="20"/>
        </w:rPr>
      </w:pPr>
      <w:r>
        <w:rPr>
          <w:rFonts w:cstheme="minorHAnsi"/>
          <w:szCs w:val="20"/>
        </w:rPr>
        <w:t>Ici, le modèle suivant est considéré, dans lequel la variable dépendante est transformée en logarithme népérien afin d’assurer la positivité des prédictions :</w:t>
      </w:r>
    </w:p>
    <w:p w14:paraId="16C37EB1" w14:textId="77777777" w:rsidR="00D435FE" w:rsidRDefault="005936AB">
      <w:pPr>
        <w:spacing w:line="276" w:lineRule="auto"/>
        <w:jc w:val="center"/>
        <w:rPr>
          <w:rFonts w:eastAsia="Calibri"/>
        </w:rPr>
      </w:pPr>
      <w:r>
        <w:rPr>
          <w:rFonts w:eastAsia="Calibri"/>
          <w:i/>
        </w:rPr>
        <w:t>Ln (Y) = µ + s * ω</w:t>
      </w:r>
    </w:p>
    <w:p w14:paraId="64E00B04" w14:textId="77777777" w:rsidR="00D435FE" w:rsidRDefault="005936AB">
      <w:pPr>
        <w:spacing w:line="276" w:lineRule="auto"/>
        <w:jc w:val="both"/>
        <w:rPr>
          <w:rFonts w:cs="Arial"/>
          <w:iCs/>
          <w:szCs w:val="20"/>
        </w:rPr>
      </w:pPr>
      <w:r>
        <w:rPr>
          <w:rFonts w:cs="Arial"/>
          <w:iCs/>
          <w:szCs w:val="20"/>
        </w:rPr>
        <w:t>où :</w:t>
      </w:r>
    </w:p>
    <w:p w14:paraId="02137392" w14:textId="77777777" w:rsidR="00D435FE" w:rsidRDefault="005936AB">
      <w:pPr>
        <w:pStyle w:val="Paragraphedeliste"/>
        <w:numPr>
          <w:ilvl w:val="0"/>
          <w:numId w:val="2"/>
        </w:numPr>
        <w:rPr>
          <w:rFonts w:cs="Arial"/>
          <w:iCs/>
          <w:szCs w:val="20"/>
        </w:rPr>
      </w:pPr>
      <w:r>
        <w:rPr>
          <w:rFonts w:cs="Arial"/>
          <w:iCs/>
          <w:szCs w:val="20"/>
        </w:rPr>
        <w:t>Y représente la variable aléatoire dépendante ;</w:t>
      </w:r>
    </w:p>
    <w:p w14:paraId="3F4556B8" w14:textId="0E5BD7D7" w:rsidR="00D435FE" w:rsidRDefault="005936AB">
      <w:pPr>
        <w:pStyle w:val="Paragraphedeliste"/>
        <w:numPr>
          <w:ilvl w:val="0"/>
          <w:numId w:val="2"/>
        </w:numPr>
        <w:spacing w:after="0"/>
        <w:rPr>
          <w:rFonts w:cs="Arial"/>
          <w:iCs/>
          <w:szCs w:val="20"/>
        </w:rPr>
      </w:pPr>
      <w:r>
        <w:rPr>
          <w:rFonts w:cs="Arial"/>
          <w:iCs/>
          <w:szCs w:val="20"/>
        </w:rPr>
        <w:t>µ = X</w:t>
      </w:r>
      <w:r>
        <w:rPr>
          <w:rFonts w:cs="Arial"/>
          <w:iCs/>
          <w:szCs w:val="20"/>
          <w:vertAlign w:val="superscript"/>
        </w:rPr>
        <w:t>T</w:t>
      </w:r>
      <w:r>
        <w:rPr>
          <w:rFonts w:cs="Arial"/>
          <w:iCs/>
          <w:szCs w:val="20"/>
        </w:rPr>
        <w:t>β = β</w:t>
      </w:r>
      <w:r>
        <w:rPr>
          <w:rFonts w:cs="Arial"/>
          <w:iCs/>
          <w:szCs w:val="20"/>
          <w:vertAlign w:val="subscript"/>
        </w:rPr>
        <w:t>0</w:t>
      </w:r>
      <w:r>
        <w:rPr>
          <w:rFonts w:cs="Arial"/>
          <w:iCs/>
          <w:szCs w:val="20"/>
        </w:rPr>
        <w:t>+β</w:t>
      </w:r>
      <w:r>
        <w:rPr>
          <w:rFonts w:cs="Arial"/>
          <w:iCs/>
          <w:szCs w:val="20"/>
          <w:vertAlign w:val="subscript"/>
        </w:rPr>
        <w:t>1</w:t>
      </w:r>
      <w:r>
        <w:rPr>
          <w:rFonts w:cs="Arial"/>
          <w:iCs/>
          <w:szCs w:val="20"/>
        </w:rPr>
        <w:t>X</w:t>
      </w:r>
      <w:r>
        <w:rPr>
          <w:rFonts w:cs="Arial"/>
          <w:iCs/>
          <w:szCs w:val="20"/>
          <w:vertAlign w:val="subscript"/>
        </w:rPr>
        <w:t>1</w:t>
      </w:r>
      <w:r>
        <w:rPr>
          <w:rFonts w:cs="Arial"/>
          <w:iCs/>
          <w:szCs w:val="20"/>
        </w:rPr>
        <w:t>+ β</w:t>
      </w:r>
      <w:r>
        <w:rPr>
          <w:rFonts w:cs="Arial"/>
          <w:iCs/>
          <w:szCs w:val="20"/>
          <w:vertAlign w:val="subscript"/>
        </w:rPr>
        <w:t>2</w:t>
      </w:r>
      <w:r>
        <w:rPr>
          <w:rFonts w:cs="Arial"/>
          <w:iCs/>
          <w:szCs w:val="20"/>
        </w:rPr>
        <w:t>X</w:t>
      </w:r>
      <w:r>
        <w:rPr>
          <w:rFonts w:cs="Arial"/>
          <w:iCs/>
          <w:szCs w:val="20"/>
          <w:vertAlign w:val="subscript"/>
        </w:rPr>
        <w:t>2</w:t>
      </w:r>
      <w:r>
        <w:rPr>
          <w:rFonts w:cs="Arial"/>
          <w:iCs/>
          <w:szCs w:val="20"/>
        </w:rPr>
        <w:t>+…+β</w:t>
      </w:r>
      <w:r>
        <w:rPr>
          <w:rFonts w:cs="Arial"/>
          <w:iCs/>
          <w:szCs w:val="20"/>
          <w:vertAlign w:val="subscript"/>
        </w:rPr>
        <w:t>P</w:t>
      </w:r>
      <w:r>
        <w:rPr>
          <w:rFonts w:cs="Arial"/>
          <w:iCs/>
          <w:szCs w:val="20"/>
        </w:rPr>
        <w:t>X</w:t>
      </w:r>
      <w:r>
        <w:rPr>
          <w:rFonts w:cs="Arial"/>
          <w:iCs/>
          <w:szCs w:val="20"/>
          <w:vertAlign w:val="subscript"/>
        </w:rPr>
        <w:t>P</w:t>
      </w:r>
      <w:r>
        <w:rPr>
          <w:rFonts w:cs="Arial"/>
          <w:iCs/>
          <w:szCs w:val="20"/>
        </w:rPr>
        <w:t xml:space="preserve"> est la combinaison linéaire des </w:t>
      </w:r>
      <w:r w:rsidR="002D442D">
        <w:rPr>
          <w:rFonts w:cs="Arial"/>
          <w:iCs/>
          <w:szCs w:val="20"/>
        </w:rPr>
        <w:t xml:space="preserve">variables explicatives </w:t>
      </w:r>
      <w:r>
        <w:rPr>
          <w:rFonts w:cs="Arial"/>
          <w:iCs/>
          <w:szCs w:val="20"/>
        </w:rPr>
        <w:t>et de leurs coefficients de régression ;</w:t>
      </w:r>
    </w:p>
    <w:p w14:paraId="621CB0E7" w14:textId="7473F9B1" w:rsidR="00D435FE" w:rsidRDefault="005936AB">
      <w:pPr>
        <w:widowControl w:val="0"/>
        <w:numPr>
          <w:ilvl w:val="0"/>
          <w:numId w:val="2"/>
        </w:numPr>
        <w:spacing w:after="0" w:line="276" w:lineRule="auto"/>
        <w:jc w:val="both"/>
        <w:rPr>
          <w:rFonts w:cs="Arial"/>
          <w:iCs/>
          <w:szCs w:val="20"/>
        </w:rPr>
      </w:pPr>
      <w:r>
        <w:rPr>
          <w:rFonts w:cs="Arial"/>
          <w:iCs/>
          <w:szCs w:val="20"/>
        </w:rPr>
        <w:t>X = (1 X</w:t>
      </w:r>
      <w:r>
        <w:rPr>
          <w:rFonts w:cs="Arial"/>
          <w:iCs/>
          <w:szCs w:val="20"/>
          <w:vertAlign w:val="subscript"/>
        </w:rPr>
        <w:t>1</w:t>
      </w:r>
      <w:r>
        <w:rPr>
          <w:rFonts w:cs="Arial"/>
          <w:iCs/>
          <w:szCs w:val="20"/>
        </w:rPr>
        <w:t xml:space="preserve"> X</w:t>
      </w:r>
      <w:r>
        <w:rPr>
          <w:rFonts w:cs="Arial"/>
          <w:iCs/>
          <w:szCs w:val="20"/>
          <w:vertAlign w:val="subscript"/>
        </w:rPr>
        <w:t>2</w:t>
      </w:r>
      <w:r>
        <w:rPr>
          <w:rFonts w:cs="Arial"/>
          <w:iCs/>
          <w:szCs w:val="20"/>
        </w:rPr>
        <w:t xml:space="preserve"> … X</w:t>
      </w:r>
      <w:r>
        <w:rPr>
          <w:rFonts w:cs="Arial"/>
          <w:iCs/>
          <w:szCs w:val="20"/>
          <w:vertAlign w:val="subscript"/>
        </w:rPr>
        <w:t>P</w:t>
      </w:r>
      <w:r>
        <w:rPr>
          <w:rFonts w:cs="Arial"/>
          <w:iCs/>
          <w:szCs w:val="20"/>
        </w:rPr>
        <w:t>)</w:t>
      </w:r>
      <w:r>
        <w:rPr>
          <w:rFonts w:cs="Arial"/>
          <w:iCs/>
          <w:szCs w:val="20"/>
          <w:vertAlign w:val="superscript"/>
        </w:rPr>
        <w:t>T</w:t>
      </w:r>
      <w:r>
        <w:rPr>
          <w:rFonts w:cs="Arial"/>
          <w:iCs/>
          <w:szCs w:val="20"/>
        </w:rPr>
        <w:t xml:space="preserve"> est le vecteur des p variables explicatives, considérées comme non aléatoires ;</w:t>
      </w:r>
    </w:p>
    <w:p w14:paraId="01BB7985" w14:textId="203EEA0C" w:rsidR="00D435FE" w:rsidRDefault="005936AB">
      <w:pPr>
        <w:widowControl w:val="0"/>
        <w:numPr>
          <w:ilvl w:val="0"/>
          <w:numId w:val="2"/>
        </w:numPr>
        <w:spacing w:after="0" w:line="276" w:lineRule="auto"/>
        <w:jc w:val="both"/>
        <w:rPr>
          <w:rFonts w:cs="Arial"/>
          <w:iCs/>
          <w:szCs w:val="20"/>
        </w:rPr>
      </w:pPr>
      <w:r>
        <w:rPr>
          <w:rFonts w:cs="Arial"/>
          <w:iCs/>
          <w:szCs w:val="20"/>
        </w:rPr>
        <w:t>β = (β</w:t>
      </w:r>
      <w:r>
        <w:rPr>
          <w:rFonts w:cs="Arial"/>
          <w:iCs/>
          <w:szCs w:val="20"/>
          <w:vertAlign w:val="subscript"/>
        </w:rPr>
        <w:t>0</w:t>
      </w:r>
      <w:r>
        <w:rPr>
          <w:rFonts w:cs="Arial"/>
          <w:iCs/>
          <w:szCs w:val="20"/>
        </w:rPr>
        <w:t xml:space="preserve"> β</w:t>
      </w:r>
      <w:r>
        <w:rPr>
          <w:rFonts w:cs="Arial"/>
          <w:iCs/>
          <w:szCs w:val="20"/>
          <w:vertAlign w:val="subscript"/>
        </w:rPr>
        <w:t>1</w:t>
      </w:r>
      <w:r>
        <w:rPr>
          <w:rFonts w:cs="Arial"/>
          <w:iCs/>
          <w:szCs w:val="20"/>
        </w:rPr>
        <w:t xml:space="preserve"> β</w:t>
      </w:r>
      <w:r>
        <w:rPr>
          <w:rFonts w:cs="Arial"/>
          <w:iCs/>
          <w:szCs w:val="20"/>
          <w:vertAlign w:val="subscript"/>
        </w:rPr>
        <w:t>2</w:t>
      </w:r>
      <w:r>
        <w:rPr>
          <w:rFonts w:cs="Arial"/>
          <w:iCs/>
          <w:szCs w:val="20"/>
        </w:rPr>
        <w:t xml:space="preserve"> … β</w:t>
      </w:r>
      <w:r>
        <w:rPr>
          <w:rFonts w:cs="Arial"/>
          <w:iCs/>
          <w:szCs w:val="20"/>
          <w:vertAlign w:val="subscript"/>
        </w:rPr>
        <w:t>P</w:t>
      </w:r>
      <w:r>
        <w:rPr>
          <w:rFonts w:cs="Arial"/>
          <w:iCs/>
          <w:szCs w:val="20"/>
        </w:rPr>
        <w:t>)</w:t>
      </w:r>
      <w:r>
        <w:rPr>
          <w:rFonts w:cs="Arial"/>
          <w:iCs/>
          <w:szCs w:val="20"/>
          <w:vertAlign w:val="superscript"/>
        </w:rPr>
        <w:t>T</w:t>
      </w:r>
      <w:r>
        <w:rPr>
          <w:rFonts w:cs="Arial"/>
          <w:iCs/>
          <w:szCs w:val="20"/>
        </w:rPr>
        <w:t xml:space="preserve"> est le vecteur des coefficients de régression qui quantifient les effets des </w:t>
      </w:r>
      <w:r w:rsidR="002D442D">
        <w:rPr>
          <w:rFonts w:cs="Arial"/>
          <w:iCs/>
          <w:szCs w:val="20"/>
        </w:rPr>
        <w:t xml:space="preserve">variables explicatives  </w:t>
      </w:r>
      <w:r>
        <w:rPr>
          <w:rFonts w:cs="Arial"/>
          <w:iCs/>
          <w:szCs w:val="20"/>
        </w:rPr>
        <w:t>sur la médiane de ln</w:t>
      </w:r>
      <w:r>
        <w:rPr>
          <w:rFonts w:ascii="Cambria Math" w:hAnsi="Cambria Math" w:cs="Cambria Math"/>
          <w:iCs/>
          <w:szCs w:val="20"/>
        </w:rPr>
        <w:t>(</w:t>
      </w:r>
      <w:r>
        <w:rPr>
          <w:rFonts w:cs="Arial"/>
          <w:iCs/>
          <w:szCs w:val="20"/>
        </w:rPr>
        <w:t>Y) ;</w:t>
      </w:r>
    </w:p>
    <w:p w14:paraId="10319080" w14:textId="77777777" w:rsidR="00D435FE" w:rsidRDefault="005936AB">
      <w:pPr>
        <w:widowControl w:val="0"/>
        <w:numPr>
          <w:ilvl w:val="0"/>
          <w:numId w:val="2"/>
        </w:numPr>
        <w:spacing w:after="0" w:line="276" w:lineRule="auto"/>
        <w:jc w:val="both"/>
        <w:rPr>
          <w:rFonts w:cs="Arial"/>
          <w:iCs/>
          <w:szCs w:val="20"/>
        </w:rPr>
      </w:pPr>
      <w:r>
        <w:rPr>
          <w:rFonts w:cs="Arial"/>
          <w:iCs/>
          <w:szCs w:val="20"/>
        </w:rPr>
        <w:t>s est le</w:t>
      </w:r>
      <w:bookmarkStart w:id="2" w:name="__DdeLink__1163_1217825834"/>
      <w:r>
        <w:rPr>
          <w:rFonts w:cs="Arial"/>
          <w:iCs/>
          <w:szCs w:val="20"/>
        </w:rPr>
        <w:t xml:space="preserve"> paramètre de dispersion du modèle ;</w:t>
      </w:r>
    </w:p>
    <w:p w14:paraId="58814648" w14:textId="2AAC9964" w:rsidR="00D435FE" w:rsidRDefault="005936AB">
      <w:pPr>
        <w:widowControl w:val="0"/>
        <w:numPr>
          <w:ilvl w:val="0"/>
          <w:numId w:val="2"/>
        </w:numPr>
        <w:spacing w:after="0" w:line="276" w:lineRule="auto"/>
        <w:jc w:val="both"/>
        <w:rPr>
          <w:rFonts w:cs="Arial"/>
          <w:iCs/>
          <w:szCs w:val="20"/>
        </w:rPr>
      </w:pPr>
      <w:r>
        <w:rPr>
          <w:rFonts w:cs="Arial"/>
          <w:iCs/>
          <w:szCs w:val="20"/>
        </w:rPr>
        <w:t>ω</w:t>
      </w:r>
      <w:bookmarkEnd w:id="2"/>
      <w:r>
        <w:rPr>
          <w:rFonts w:cs="Arial"/>
          <w:iCs/>
          <w:szCs w:val="20"/>
        </w:rPr>
        <w:t xml:space="preserve"> est </w:t>
      </w:r>
      <w:r w:rsidRPr="00390D2D">
        <w:rPr>
          <w:rFonts w:cs="Arial"/>
          <w:iCs/>
          <w:szCs w:val="20"/>
        </w:rPr>
        <w:t xml:space="preserve">une variable aléatoire normale </w:t>
      </w:r>
      <w:r>
        <w:rPr>
          <w:rFonts w:cs="Arial"/>
          <w:iCs/>
          <w:szCs w:val="20"/>
        </w:rPr>
        <w:t xml:space="preserve">N(0,1).  </w:t>
      </w:r>
    </w:p>
    <w:p w14:paraId="72722972" w14:textId="77777777" w:rsidR="00D435FE" w:rsidRDefault="00D435FE">
      <w:pPr>
        <w:widowControl w:val="0"/>
        <w:spacing w:after="0" w:line="276" w:lineRule="auto"/>
        <w:jc w:val="both"/>
        <w:rPr>
          <w:rFonts w:cs="Arial"/>
          <w:iCs/>
          <w:szCs w:val="20"/>
        </w:rPr>
      </w:pPr>
    </w:p>
    <w:p w14:paraId="20ACECD5" w14:textId="7F7CD52F" w:rsidR="00D435FE" w:rsidRDefault="005936AB">
      <w:pPr>
        <w:spacing w:line="276" w:lineRule="auto"/>
        <w:jc w:val="both"/>
        <w:rPr>
          <w:rFonts w:cs="Arial"/>
          <w:iCs/>
          <w:szCs w:val="20"/>
        </w:rPr>
      </w:pPr>
      <w:r>
        <w:rPr>
          <w:rFonts w:cs="Arial"/>
          <w:iCs/>
          <w:szCs w:val="20"/>
        </w:rPr>
        <w:t>Les coefficients (β</w:t>
      </w:r>
      <w:r>
        <w:rPr>
          <w:rFonts w:cs="Arial"/>
          <w:iCs/>
          <w:szCs w:val="20"/>
          <w:vertAlign w:val="subscript"/>
        </w:rPr>
        <w:t>1</w:t>
      </w:r>
      <w:r>
        <w:rPr>
          <w:rFonts w:cs="Arial"/>
          <w:iCs/>
          <w:szCs w:val="20"/>
        </w:rPr>
        <w:t>, β</w:t>
      </w:r>
      <w:r>
        <w:rPr>
          <w:rFonts w:cs="Arial"/>
          <w:iCs/>
          <w:szCs w:val="20"/>
          <w:vertAlign w:val="subscript"/>
        </w:rPr>
        <w:t xml:space="preserve">2 </w:t>
      </w:r>
      <w:r>
        <w:rPr>
          <w:rFonts w:cs="Arial"/>
          <w:iCs/>
          <w:szCs w:val="20"/>
        </w:rPr>
        <w:t>…) sont les effets des variables explicatives (X</w:t>
      </w:r>
      <w:r>
        <w:rPr>
          <w:rFonts w:cs="Arial"/>
          <w:iCs/>
          <w:szCs w:val="20"/>
          <w:vertAlign w:val="subscript"/>
        </w:rPr>
        <w:t>1</w:t>
      </w:r>
      <w:r>
        <w:rPr>
          <w:rFonts w:cs="Arial"/>
          <w:iCs/>
          <w:szCs w:val="20"/>
        </w:rPr>
        <w:t>, X</w:t>
      </w:r>
      <w:r>
        <w:rPr>
          <w:rFonts w:cs="Arial"/>
          <w:iCs/>
          <w:szCs w:val="20"/>
          <w:vertAlign w:val="subscript"/>
        </w:rPr>
        <w:t>2</w:t>
      </w:r>
      <w:r>
        <w:rPr>
          <w:rFonts w:cs="Arial"/>
          <w:iCs/>
          <w:szCs w:val="20"/>
        </w:rPr>
        <w:t>, X</w:t>
      </w:r>
      <w:r>
        <w:rPr>
          <w:rFonts w:cs="Arial"/>
          <w:iCs/>
          <w:szCs w:val="20"/>
          <w:vertAlign w:val="subscript"/>
        </w:rPr>
        <w:t>3</w:t>
      </w:r>
      <w:r>
        <w:rPr>
          <w:rFonts w:cs="Arial"/>
          <w:iCs/>
          <w:szCs w:val="20"/>
        </w:rPr>
        <w:t>, …) sur la médiane de la variable dépendante (Y). Le calage du modèle ln-linéaire consiste à chercher les coefficients (β</w:t>
      </w:r>
      <w:r>
        <w:rPr>
          <w:rFonts w:cs="Arial"/>
          <w:iCs/>
          <w:szCs w:val="20"/>
          <w:vertAlign w:val="subscript"/>
        </w:rPr>
        <w:t>1</w:t>
      </w:r>
      <w:r>
        <w:rPr>
          <w:rFonts w:cs="Arial"/>
          <w:iCs/>
          <w:szCs w:val="20"/>
        </w:rPr>
        <w:t>, β</w:t>
      </w:r>
      <w:r>
        <w:rPr>
          <w:rFonts w:cs="Arial"/>
          <w:iCs/>
          <w:szCs w:val="20"/>
          <w:vertAlign w:val="subscript"/>
        </w:rPr>
        <w:t>2</w:t>
      </w:r>
      <w:r>
        <w:rPr>
          <w:rFonts w:cs="Arial"/>
          <w:iCs/>
          <w:szCs w:val="20"/>
        </w:rPr>
        <w:t xml:space="preserve">, ... ; s) qui maximisent la fonction de vraisemblance, i.e. le plus vraisemblable au regard des observations, en réduisant s. </w:t>
      </w:r>
    </w:p>
    <w:p w14:paraId="250668F1" w14:textId="77777777" w:rsidR="00D435FE" w:rsidRDefault="005936AB">
      <w:pPr>
        <w:spacing w:line="276" w:lineRule="auto"/>
        <w:jc w:val="both"/>
        <w:rPr>
          <w:rFonts w:cs="Arial"/>
          <w:szCs w:val="20"/>
        </w:rPr>
      </w:pPr>
      <w:r>
        <w:rPr>
          <w:rFonts w:cs="Arial"/>
          <w:szCs w:val="20"/>
        </w:rPr>
        <w:t>Une fois calés, les coefficients (β</w:t>
      </w:r>
      <w:r>
        <w:rPr>
          <w:rFonts w:cs="Arial"/>
          <w:szCs w:val="20"/>
          <w:vertAlign w:val="subscript"/>
        </w:rPr>
        <w:t>1</w:t>
      </w:r>
      <w:r>
        <w:rPr>
          <w:rFonts w:cs="Arial"/>
          <w:szCs w:val="20"/>
        </w:rPr>
        <w:t>, β</w:t>
      </w:r>
      <w:r>
        <w:rPr>
          <w:rFonts w:cs="Arial"/>
          <w:szCs w:val="20"/>
          <w:vertAlign w:val="subscript"/>
        </w:rPr>
        <w:t>2</w:t>
      </w:r>
      <w:r>
        <w:rPr>
          <w:rFonts w:cs="Arial"/>
          <w:szCs w:val="20"/>
        </w:rPr>
        <w:t xml:space="preserve">, …) estimés par le modèle permettent de calculer les médianes. Ils </w:t>
      </w:r>
      <w:r>
        <w:t>permettent aussi</w:t>
      </w:r>
      <w:r>
        <w:rPr>
          <w:rFonts w:cs="Arial"/>
          <w:szCs w:val="20"/>
        </w:rPr>
        <w:t xml:space="preserve"> de calculer des facteurs d’accroissement ou de diminution (e</w:t>
      </w:r>
      <w:r>
        <w:rPr>
          <w:rFonts w:cs="Arial"/>
          <w:szCs w:val="20"/>
          <w:vertAlign w:val="superscript"/>
        </w:rPr>
        <w:t>β1</w:t>
      </w:r>
      <w:r>
        <w:rPr>
          <w:rFonts w:cs="Arial"/>
          <w:szCs w:val="20"/>
        </w:rPr>
        <w:t>,</w:t>
      </w:r>
      <w:r>
        <w:rPr>
          <w:rFonts w:cs="Arial"/>
          <w:szCs w:val="20"/>
          <w:vertAlign w:val="superscript"/>
        </w:rPr>
        <w:t xml:space="preserve"> </w:t>
      </w:r>
      <w:r>
        <w:rPr>
          <w:rFonts w:cs="Arial"/>
          <w:szCs w:val="20"/>
        </w:rPr>
        <w:t>e</w:t>
      </w:r>
      <w:r>
        <w:rPr>
          <w:rFonts w:cs="Arial"/>
          <w:szCs w:val="20"/>
          <w:vertAlign w:val="superscript"/>
        </w:rPr>
        <w:t>β2</w:t>
      </w:r>
      <w:r>
        <w:rPr>
          <w:rFonts w:cs="Arial"/>
          <w:szCs w:val="20"/>
        </w:rPr>
        <w:t xml:space="preserve">, ...) exprimés en pourcentage vis-à-vis de l’ensemble de référence (expliqué ci-après). </w:t>
      </w:r>
    </w:p>
    <w:p w14:paraId="01F4BCEC" w14:textId="28A593D2" w:rsidR="00D435FE" w:rsidRDefault="005936AB" w:rsidP="00F53763">
      <w:pPr>
        <w:spacing w:before="120" w:after="120" w:line="276" w:lineRule="auto"/>
        <w:jc w:val="both"/>
        <w:rPr>
          <w:rFonts w:cstheme="minorHAnsi"/>
          <w:szCs w:val="20"/>
        </w:rPr>
      </w:pPr>
      <w:r>
        <w:rPr>
          <w:rFonts w:cstheme="minorHAnsi"/>
          <w:szCs w:val="20"/>
        </w:rPr>
        <w:t xml:space="preserve">Une fonctionnalité supplémentaire du modèle consiste à faire en sorte que le paramètre de </w:t>
      </w:r>
      <w:r w:rsidRPr="00AA2A10">
        <w:rPr>
          <w:rFonts w:cstheme="minorHAnsi"/>
          <w:b/>
          <w:szCs w:val="20"/>
        </w:rPr>
        <w:t>dispersion</w:t>
      </w:r>
      <w:r>
        <w:rPr>
          <w:rFonts w:cstheme="minorHAnsi"/>
          <w:szCs w:val="20"/>
        </w:rPr>
        <w:t xml:space="preserve"> s dépende de q </w:t>
      </w:r>
      <w:r w:rsidR="002D442D">
        <w:rPr>
          <w:rFonts w:cstheme="minorHAnsi"/>
          <w:szCs w:val="20"/>
        </w:rPr>
        <w:t>variables explicatives</w:t>
      </w:r>
      <w:r>
        <w:rPr>
          <w:rFonts w:cstheme="minorHAnsi"/>
          <w:szCs w:val="20"/>
        </w:rPr>
        <w:t xml:space="preserve">, au lieu d’être constant pour toutes les observations. Le modèle de dispersion choisi est </w:t>
      </w:r>
      <m:oMath>
        <m:r>
          <w:rPr>
            <w:rFonts w:ascii="Cambria Math" w:hAnsi="Cambria Math"/>
          </w:rPr>
          <m:t>s=</m:t>
        </m:r>
        <m:sSup>
          <m:sSupPr>
            <m:ctrlPr>
              <w:rPr>
                <w:rFonts w:ascii="Cambria Math" w:hAnsi="Cambria Math"/>
              </w:rPr>
            </m:ctrlPr>
          </m:sSupPr>
          <m:e>
            <m:r>
              <w:rPr>
                <w:rFonts w:ascii="Cambria Math" w:hAnsi="Cambria Math"/>
              </w:rPr>
              <m:t>e</m:t>
            </m:r>
          </m:e>
          <m:sup>
            <m:d>
              <m:dPr>
                <m:ctrlPr>
                  <w:rPr>
                    <w:rFonts w:ascii="Cambria Math" w:hAnsi="Cambria Math"/>
                  </w:rPr>
                </m:ctrlPr>
              </m:dPr>
              <m:e>
                <m:sSub>
                  <m:sSubPr>
                    <m:ctrlPr>
                      <w:rPr>
                        <w:rFonts w:ascii="Cambria Math" w:hAnsi="Cambria Math"/>
                      </w:rPr>
                    </m:ctrlPr>
                  </m:sSubPr>
                  <m:e>
                    <m:r>
                      <w:rPr>
                        <w:rFonts w:ascii="Cambria Math" w:hAnsi="Cambria Math"/>
                      </w:rPr>
                      <m:t>γ</m:t>
                    </m:r>
                  </m:e>
                  <m:sub>
                    <m:r>
                      <w:rPr>
                        <w:rFonts w:ascii="Cambria Math" w:hAnsi="Cambria Math"/>
                      </w:rPr>
                      <m:t>0</m:t>
                    </m:r>
                  </m:sub>
                </m:sSub>
                <m: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1</m:t>
                    </m:r>
                  </m:sub>
                </m:sSub>
                <m:sSub>
                  <m:sSubPr>
                    <m:ctrlPr>
                      <w:rPr>
                        <w:rFonts w:ascii="Cambria Math" w:hAnsi="Cambria Math"/>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γ</m:t>
                    </m:r>
                  </m:e>
                  <m:sub>
                    <m:r>
                      <w:rPr>
                        <w:rFonts w:ascii="Cambria Math" w:hAnsi="Cambria Math"/>
                      </w:rPr>
                      <m:t>q</m:t>
                    </m:r>
                  </m:sub>
                </m:sSub>
                <m:sSub>
                  <m:sSubPr>
                    <m:ctrlPr>
                      <w:rPr>
                        <w:rFonts w:ascii="Cambria Math" w:hAnsi="Cambria Math"/>
                      </w:rPr>
                    </m:ctrlPr>
                  </m:sSubPr>
                  <m:e>
                    <m:r>
                      <w:rPr>
                        <w:rFonts w:ascii="Cambria Math" w:hAnsi="Cambria Math"/>
                      </w:rPr>
                      <m:t>X</m:t>
                    </m:r>
                  </m:e>
                  <m:sub>
                    <m:r>
                      <w:rPr>
                        <w:rFonts w:ascii="Cambria Math" w:hAnsi="Cambria Math"/>
                      </w:rPr>
                      <m:t>q</m:t>
                    </m:r>
                  </m:sub>
                </m:sSub>
              </m:e>
            </m:d>
          </m:sup>
        </m:sSup>
      </m:oMath>
      <w:r>
        <w:rPr>
          <w:rFonts w:cstheme="minorHAnsi"/>
          <w:szCs w:val="20"/>
        </w:rPr>
        <w:t xml:space="preserve"> dans lequel la transformation exponentielle assure la positivit</w:t>
      </w:r>
      <w:r>
        <w:rPr>
          <w:rFonts w:cs="Calibri"/>
          <w:szCs w:val="20"/>
        </w:rPr>
        <w:t>é</w:t>
      </w:r>
      <w:r>
        <w:rPr>
          <w:rFonts w:cstheme="minorHAnsi"/>
          <w:szCs w:val="20"/>
        </w:rPr>
        <w:t xml:space="preserve"> de </w:t>
      </w:r>
      <w:r>
        <w:rPr>
          <w:rFonts w:ascii="Cambria Math" w:hAnsi="Cambria Math" w:cs="Cambria Math"/>
          <w:szCs w:val="20"/>
        </w:rPr>
        <w:t>𝑠</w:t>
      </w:r>
      <w:r>
        <w:rPr>
          <w:rFonts w:cstheme="minorHAnsi"/>
          <w:szCs w:val="20"/>
        </w:rPr>
        <w:t xml:space="preserve"> et dans lequel </w:t>
      </w:r>
      <w:r>
        <w:rPr>
          <w:rFonts w:ascii="Cambria Math" w:hAnsi="Cambria Math" w:cs="Cambria Math"/>
          <w:szCs w:val="20"/>
        </w:rPr>
        <w:t>𝛾</w:t>
      </w:r>
      <w:r>
        <w:rPr>
          <w:rFonts w:cstheme="minorHAnsi"/>
          <w:szCs w:val="20"/>
        </w:rPr>
        <w:t xml:space="preserve"> représente les coefficients de régression des variables explicatives sur les coefficients de dispersion. Par rapport à un modèle sans dispersion, le fait de tenir compte de la dispersion modifie l’estimation des coefficients </w:t>
      </w:r>
      <w:r>
        <w:rPr>
          <w:rFonts w:ascii="Cambria Math" w:hAnsi="Cambria Math" w:cs="Cambria Math"/>
          <w:szCs w:val="20"/>
        </w:rPr>
        <w:t>𝛽</w:t>
      </w:r>
      <w:r>
        <w:rPr>
          <w:rFonts w:cstheme="minorHAnsi"/>
          <w:szCs w:val="20"/>
        </w:rPr>
        <w:t xml:space="preserve"> des variables explicatives (</w:t>
      </w:r>
      <w:r>
        <w:rPr>
          <w:rFonts w:ascii="Cambria Math" w:hAnsi="Cambria Math" w:cs="Cambria Math"/>
          <w:szCs w:val="20"/>
        </w:rPr>
        <w:t>𝑋</w:t>
      </w:r>
      <w:r>
        <w:rPr>
          <w:rFonts w:cstheme="minorHAnsi"/>
          <w:szCs w:val="20"/>
        </w:rPr>
        <w:t>) et améliore la précision de l’ajustement du modèle.</w:t>
      </w:r>
    </w:p>
    <w:p w14:paraId="25005545" w14:textId="77777777" w:rsidR="00D435FE" w:rsidRDefault="005936AB">
      <w:pPr>
        <w:spacing w:line="276" w:lineRule="auto"/>
        <w:jc w:val="both"/>
        <w:rPr>
          <w:rFonts w:cs="Arial"/>
          <w:iCs/>
          <w:szCs w:val="20"/>
        </w:rPr>
      </w:pPr>
      <w:r>
        <w:rPr>
          <w:rFonts w:cs="Arial"/>
          <w:iCs/>
          <w:szCs w:val="20"/>
        </w:rPr>
        <w:t xml:space="preserve">C’est ce modèle ln-linéaire généralisé qui a été appliqué au jeu de données du suivi </w:t>
      </w:r>
      <w:r>
        <w:rPr>
          <w:rFonts w:cs="Arial"/>
          <w:i/>
          <w:iCs/>
          <w:szCs w:val="20"/>
        </w:rPr>
        <w:t>in situ</w:t>
      </w:r>
      <w:r>
        <w:rPr>
          <w:rFonts w:cs="Arial"/>
          <w:iCs/>
          <w:szCs w:val="20"/>
        </w:rPr>
        <w:t xml:space="preserve">. </w:t>
      </w:r>
    </w:p>
    <w:p w14:paraId="18D40001" w14:textId="77777777" w:rsidR="00D435FE" w:rsidRDefault="00D435FE">
      <w:pPr>
        <w:spacing w:line="276" w:lineRule="auto"/>
        <w:jc w:val="both"/>
        <w:rPr>
          <w:rFonts w:cs="Arial"/>
          <w:iCs/>
          <w:szCs w:val="20"/>
        </w:rPr>
      </w:pPr>
    </w:p>
    <w:p w14:paraId="1810D8DE" w14:textId="77777777" w:rsidR="00D435FE" w:rsidRPr="00AA2A10" w:rsidRDefault="005936AB" w:rsidP="00AA2A10">
      <w:pPr>
        <w:pStyle w:val="Titre1"/>
      </w:pPr>
      <w:bookmarkStart w:id="3" w:name="_Toc63065728"/>
      <w:r w:rsidRPr="00AA2A10">
        <w:t xml:space="preserve">Exemple de l’application du modèle « ln-linéaire généralisé » aux données du suivi </w:t>
      </w:r>
      <w:r w:rsidRPr="00AA2A10">
        <w:rPr>
          <w:i/>
        </w:rPr>
        <w:t>in situ</w:t>
      </w:r>
      <w:bookmarkEnd w:id="3"/>
    </w:p>
    <w:p w14:paraId="595C8075" w14:textId="77777777" w:rsidR="00D435FE" w:rsidRDefault="00D435FE">
      <w:pPr>
        <w:widowControl w:val="0"/>
        <w:spacing w:after="0" w:line="276" w:lineRule="auto"/>
        <w:ind w:left="720"/>
        <w:jc w:val="both"/>
        <w:rPr>
          <w:rFonts w:cs="Arial"/>
          <w:b/>
          <w:szCs w:val="20"/>
        </w:rPr>
      </w:pPr>
    </w:p>
    <w:p w14:paraId="4CB8F11A" w14:textId="6D87738E" w:rsidR="00D435FE" w:rsidRDefault="005936AB">
      <w:pPr>
        <w:spacing w:line="276" w:lineRule="auto"/>
        <w:jc w:val="both"/>
        <w:rPr>
          <w:rFonts w:cs="Arial"/>
          <w:iCs/>
          <w:szCs w:val="20"/>
        </w:rPr>
      </w:pPr>
      <w:r>
        <w:rPr>
          <w:rFonts w:cs="Arial"/>
          <w:iCs/>
          <w:szCs w:val="20"/>
        </w:rPr>
        <w:t>Les modèles « ln-linéaire généralisés » permettent de comparer un ensemble de données (Y) en identifiant les effets des différentes variables explicatives. Les variables explicatives (X) sont des variables qualitatives avec plusieurs modalités</w:t>
      </w:r>
      <w:r w:rsidR="005725EF">
        <w:rPr>
          <w:rFonts w:cs="Arial"/>
          <w:szCs w:val="20"/>
        </w:rPr>
        <w:t xml:space="preserve">. </w:t>
      </w:r>
      <w:r>
        <w:rPr>
          <w:rFonts w:cs="Arial"/>
          <w:iCs/>
          <w:szCs w:val="20"/>
        </w:rPr>
        <w:t xml:space="preserve">Pour le suivi </w:t>
      </w:r>
      <w:r>
        <w:rPr>
          <w:rFonts w:cs="Arial"/>
          <w:i/>
          <w:iCs/>
          <w:szCs w:val="20"/>
        </w:rPr>
        <w:t>in situ</w:t>
      </w:r>
      <w:r>
        <w:rPr>
          <w:rFonts w:cs="Arial"/>
          <w:iCs/>
          <w:szCs w:val="20"/>
        </w:rPr>
        <w:t>, il s’agissait :</w:t>
      </w:r>
    </w:p>
    <w:p w14:paraId="6E066229" w14:textId="77777777" w:rsidR="00D435FE" w:rsidRDefault="005936AB">
      <w:pPr>
        <w:widowControl w:val="0"/>
        <w:numPr>
          <w:ilvl w:val="0"/>
          <w:numId w:val="8"/>
        </w:numPr>
        <w:spacing w:after="0" w:line="276" w:lineRule="auto"/>
        <w:jc w:val="both"/>
        <w:rPr>
          <w:rFonts w:cs="Arial"/>
          <w:iCs/>
          <w:szCs w:val="20"/>
        </w:rPr>
      </w:pPr>
      <w:r>
        <w:rPr>
          <w:rFonts w:cs="Arial"/>
          <w:iCs/>
          <w:szCs w:val="20"/>
        </w:rPr>
        <w:t xml:space="preserve">du type de prélèvement (2 classes : prélèvements ponctuels ou bilans 24h), </w:t>
      </w:r>
    </w:p>
    <w:p w14:paraId="05F0B86F" w14:textId="77777777" w:rsidR="00D435FE" w:rsidRDefault="005936AB">
      <w:pPr>
        <w:widowControl w:val="0"/>
        <w:numPr>
          <w:ilvl w:val="0"/>
          <w:numId w:val="8"/>
        </w:numPr>
        <w:spacing w:after="0" w:line="276" w:lineRule="auto"/>
        <w:jc w:val="both"/>
        <w:rPr>
          <w:rFonts w:cs="Arial"/>
          <w:iCs/>
          <w:szCs w:val="20"/>
        </w:rPr>
      </w:pPr>
      <w:r>
        <w:rPr>
          <w:rFonts w:cs="Arial"/>
          <w:iCs/>
          <w:szCs w:val="20"/>
        </w:rPr>
        <w:t xml:space="preserve">des 33 dispositifs de traitement classés en 13 filières et 3 familles c’est-à-dire 33 classes, 13 classes ou 3 classes selon les échelles d’analyse retenues, </w:t>
      </w:r>
    </w:p>
    <w:p w14:paraId="7EE01F69" w14:textId="77777777" w:rsidR="00D435FE" w:rsidRDefault="005936AB">
      <w:pPr>
        <w:widowControl w:val="0"/>
        <w:numPr>
          <w:ilvl w:val="0"/>
          <w:numId w:val="8"/>
        </w:numPr>
        <w:spacing w:after="0" w:line="276" w:lineRule="auto"/>
        <w:jc w:val="both"/>
        <w:rPr>
          <w:rFonts w:cs="Arial"/>
          <w:iCs/>
          <w:szCs w:val="20"/>
        </w:rPr>
      </w:pPr>
      <w:r>
        <w:rPr>
          <w:rFonts w:cs="Arial"/>
          <w:iCs/>
          <w:szCs w:val="20"/>
        </w:rPr>
        <w:t>de l’âge des installations au moment du prélèvement réparti en 3 classes :</w:t>
      </w:r>
    </w:p>
    <w:p w14:paraId="7721FBF9" w14:textId="77777777" w:rsidR="00D435FE" w:rsidRDefault="005936AB">
      <w:pPr>
        <w:widowControl w:val="0"/>
        <w:numPr>
          <w:ilvl w:val="0"/>
          <w:numId w:val="7"/>
        </w:numPr>
        <w:spacing w:after="0" w:line="276" w:lineRule="auto"/>
        <w:jc w:val="both"/>
        <w:rPr>
          <w:rFonts w:cs="Arial"/>
          <w:iCs/>
          <w:szCs w:val="20"/>
        </w:rPr>
      </w:pPr>
      <w:r>
        <w:rPr>
          <w:rFonts w:cs="Arial"/>
          <w:iCs/>
          <w:szCs w:val="20"/>
        </w:rPr>
        <w:t xml:space="preserve">&lt; 2 ans, </w:t>
      </w:r>
    </w:p>
    <w:p w14:paraId="6DCC70F9" w14:textId="77777777" w:rsidR="00D435FE" w:rsidRDefault="005936AB">
      <w:pPr>
        <w:widowControl w:val="0"/>
        <w:numPr>
          <w:ilvl w:val="0"/>
          <w:numId w:val="7"/>
        </w:numPr>
        <w:spacing w:after="0" w:line="276" w:lineRule="auto"/>
        <w:jc w:val="both"/>
        <w:rPr>
          <w:rFonts w:cs="Arial"/>
          <w:iCs/>
          <w:szCs w:val="20"/>
        </w:rPr>
      </w:pPr>
      <w:r>
        <w:rPr>
          <w:rFonts w:cs="Arial"/>
          <w:iCs/>
          <w:szCs w:val="20"/>
        </w:rPr>
        <w:t xml:space="preserve">entre 2 et 4 ans, </w:t>
      </w:r>
    </w:p>
    <w:p w14:paraId="5716E17D" w14:textId="77777777" w:rsidR="00D435FE" w:rsidRDefault="005936AB">
      <w:pPr>
        <w:widowControl w:val="0"/>
        <w:numPr>
          <w:ilvl w:val="0"/>
          <w:numId w:val="7"/>
        </w:numPr>
        <w:spacing w:after="0" w:line="276" w:lineRule="auto"/>
        <w:jc w:val="both"/>
        <w:rPr>
          <w:rFonts w:cs="Arial"/>
          <w:iCs/>
          <w:szCs w:val="20"/>
        </w:rPr>
      </w:pPr>
      <w:r>
        <w:rPr>
          <w:rFonts w:cs="Arial"/>
          <w:iCs/>
          <w:szCs w:val="20"/>
        </w:rPr>
        <w:t>4 ans et plus.</w:t>
      </w:r>
    </w:p>
    <w:p w14:paraId="23D55AF1" w14:textId="77777777" w:rsidR="00D435FE" w:rsidRDefault="005936AB">
      <w:pPr>
        <w:widowControl w:val="0"/>
        <w:numPr>
          <w:ilvl w:val="0"/>
          <w:numId w:val="3"/>
        </w:numPr>
        <w:spacing w:after="0" w:line="276" w:lineRule="auto"/>
        <w:jc w:val="both"/>
        <w:rPr>
          <w:rFonts w:cs="Arial"/>
          <w:iCs/>
          <w:szCs w:val="20"/>
        </w:rPr>
      </w:pPr>
      <w:r>
        <w:rPr>
          <w:rFonts w:cs="Arial"/>
          <w:iCs/>
          <w:szCs w:val="20"/>
        </w:rPr>
        <w:t xml:space="preserve">de leur taux de charge au moment du prélèvement réparti en 3 classes : </w:t>
      </w:r>
    </w:p>
    <w:p w14:paraId="4B0EA3EB" w14:textId="77777777" w:rsidR="00D435FE" w:rsidRDefault="005936AB">
      <w:pPr>
        <w:widowControl w:val="0"/>
        <w:numPr>
          <w:ilvl w:val="0"/>
          <w:numId w:val="4"/>
        </w:numPr>
        <w:spacing w:after="0" w:line="276" w:lineRule="auto"/>
        <w:jc w:val="both"/>
        <w:rPr>
          <w:rFonts w:cs="Arial"/>
          <w:iCs/>
          <w:szCs w:val="20"/>
        </w:rPr>
      </w:pPr>
      <w:r>
        <w:rPr>
          <w:rFonts w:cs="Arial"/>
          <w:iCs/>
          <w:szCs w:val="20"/>
        </w:rPr>
        <w:t xml:space="preserve">&lt; 30 %, </w:t>
      </w:r>
    </w:p>
    <w:p w14:paraId="0BB35C72" w14:textId="77777777" w:rsidR="00D435FE" w:rsidRDefault="005936AB">
      <w:pPr>
        <w:widowControl w:val="0"/>
        <w:numPr>
          <w:ilvl w:val="0"/>
          <w:numId w:val="4"/>
        </w:numPr>
        <w:spacing w:after="0" w:line="276" w:lineRule="auto"/>
        <w:jc w:val="both"/>
        <w:rPr>
          <w:rFonts w:cs="Arial"/>
          <w:iCs/>
          <w:szCs w:val="20"/>
        </w:rPr>
      </w:pPr>
      <w:r>
        <w:rPr>
          <w:rFonts w:cs="Arial"/>
          <w:iCs/>
          <w:szCs w:val="20"/>
        </w:rPr>
        <w:t xml:space="preserve">entre 30 % et 70 %, </w:t>
      </w:r>
    </w:p>
    <w:p w14:paraId="7AEE2E5E" w14:textId="77777777" w:rsidR="00D435FE" w:rsidRDefault="005936AB">
      <w:pPr>
        <w:widowControl w:val="0"/>
        <w:numPr>
          <w:ilvl w:val="0"/>
          <w:numId w:val="4"/>
        </w:numPr>
        <w:spacing w:after="0" w:line="276" w:lineRule="auto"/>
        <w:jc w:val="both"/>
        <w:rPr>
          <w:rFonts w:cs="Arial"/>
          <w:iCs/>
          <w:szCs w:val="20"/>
        </w:rPr>
      </w:pPr>
      <w:r>
        <w:rPr>
          <w:rFonts w:cs="Arial"/>
          <w:iCs/>
          <w:szCs w:val="20"/>
        </w:rPr>
        <w:t>&gt; 70%.</w:t>
      </w:r>
    </w:p>
    <w:p w14:paraId="1E75CBC1" w14:textId="77777777" w:rsidR="00D435FE" w:rsidRDefault="00D435FE">
      <w:pPr>
        <w:widowControl w:val="0"/>
        <w:spacing w:after="0" w:line="276" w:lineRule="auto"/>
        <w:ind w:left="1440"/>
        <w:jc w:val="both"/>
        <w:rPr>
          <w:rFonts w:cs="Arial"/>
          <w:iCs/>
          <w:szCs w:val="20"/>
        </w:rPr>
      </w:pPr>
    </w:p>
    <w:p w14:paraId="28166B7A" w14:textId="70353D22" w:rsidR="00D435FE" w:rsidRDefault="005936AB">
      <w:pPr>
        <w:pBdr>
          <w:top w:val="single" w:sz="4" w:space="1" w:color="000000"/>
          <w:left w:val="single" w:sz="4" w:space="4" w:color="000000"/>
          <w:bottom w:val="single" w:sz="4" w:space="1" w:color="000000"/>
          <w:right w:val="single" w:sz="4" w:space="4" w:color="000000"/>
        </w:pBdr>
        <w:spacing w:line="276" w:lineRule="auto"/>
        <w:jc w:val="both"/>
        <w:rPr>
          <w:rFonts w:cs="Arial"/>
          <w:b/>
          <w:iCs/>
          <w:szCs w:val="20"/>
        </w:rPr>
      </w:pPr>
      <w:r>
        <w:rPr>
          <w:rFonts w:cs="Arial"/>
          <w:b/>
          <w:iCs/>
          <w:szCs w:val="20"/>
        </w:rPr>
        <w:t>Il est important de considérer des variables significatives indépendantes entre elles</w:t>
      </w:r>
      <w:r w:rsidR="00F53763">
        <w:rPr>
          <w:rFonts w:cs="Arial"/>
          <w:b/>
          <w:iCs/>
          <w:szCs w:val="20"/>
        </w:rPr>
        <w:t>, cette obligation étant</w:t>
      </w:r>
      <w:r w:rsidR="004255C4">
        <w:rPr>
          <w:rFonts w:cs="Arial"/>
          <w:b/>
          <w:iCs/>
          <w:szCs w:val="20"/>
        </w:rPr>
        <w:t xml:space="preserve"> en lien avec la structuration même du modèle, sous une forme linéaire.</w:t>
      </w:r>
      <w:r>
        <w:rPr>
          <w:rFonts w:cs="Arial"/>
          <w:b/>
          <w:iCs/>
          <w:szCs w:val="20"/>
        </w:rPr>
        <w:t xml:space="preserve"> </w:t>
      </w:r>
    </w:p>
    <w:p w14:paraId="7F260248" w14:textId="0E489865" w:rsidR="00D435FE" w:rsidRDefault="005936AB">
      <w:pPr>
        <w:spacing w:line="276" w:lineRule="auto"/>
        <w:jc w:val="both"/>
        <w:rPr>
          <w:rFonts w:cs="Arial"/>
          <w:iCs/>
          <w:szCs w:val="20"/>
        </w:rPr>
      </w:pPr>
      <w:r>
        <w:rPr>
          <w:rFonts w:cs="Arial"/>
          <w:iCs/>
          <w:szCs w:val="20"/>
        </w:rPr>
        <w:t xml:space="preserve">Pour identifier l’effet de chaque variable explicative, celle-ci doit être codée </w:t>
      </w:r>
      <w:r w:rsidRPr="007C0ACD">
        <w:rPr>
          <w:rFonts w:cs="Arial"/>
          <w:szCs w:val="20"/>
        </w:rPr>
        <w:t>par des indicateurs binaires</w:t>
      </w:r>
      <w:r w:rsidR="00E46550">
        <w:rPr>
          <w:rFonts w:cs="Arial"/>
          <w:iCs/>
        </w:rPr>
        <w:t xml:space="preserve">. </w:t>
      </w:r>
      <w:r>
        <w:rPr>
          <w:rFonts w:cs="Arial"/>
          <w:iCs/>
          <w:szCs w:val="20"/>
        </w:rPr>
        <w:t xml:space="preserve">Le codage pour un </w:t>
      </w:r>
      <w:r>
        <w:rPr>
          <w:rFonts w:cs="Arial"/>
          <w:b/>
          <w:iCs/>
          <w:szCs w:val="20"/>
        </w:rPr>
        <w:t>prélèvement ponctuel</w:t>
      </w:r>
      <w:r>
        <w:rPr>
          <w:rFonts w:cs="Arial"/>
          <w:iCs/>
          <w:szCs w:val="20"/>
        </w:rPr>
        <w:t xml:space="preserve"> réalisé sur le rejet d’un dispositif de </w:t>
      </w:r>
      <w:r>
        <w:rPr>
          <w:rFonts w:cs="Arial"/>
          <w:b/>
          <w:iCs/>
          <w:szCs w:val="20"/>
        </w:rPr>
        <w:t>la famille A</w:t>
      </w:r>
      <w:r>
        <w:rPr>
          <w:rFonts w:cs="Arial"/>
          <w:iCs/>
          <w:szCs w:val="20"/>
        </w:rPr>
        <w:t xml:space="preserve">, âgé </w:t>
      </w:r>
      <w:r>
        <w:rPr>
          <w:rFonts w:cs="Arial"/>
          <w:b/>
          <w:iCs/>
          <w:szCs w:val="20"/>
        </w:rPr>
        <w:t>de plus de 4 ans</w:t>
      </w:r>
      <w:r>
        <w:rPr>
          <w:rFonts w:cs="Arial"/>
          <w:iCs/>
          <w:szCs w:val="20"/>
        </w:rPr>
        <w:t xml:space="preserve"> et d’un </w:t>
      </w:r>
      <w:r>
        <w:rPr>
          <w:rFonts w:cs="Arial"/>
          <w:b/>
          <w:iCs/>
          <w:szCs w:val="20"/>
        </w:rPr>
        <w:t>taux de charge &lt; 30 %</w:t>
      </w:r>
      <w:r>
        <w:rPr>
          <w:rFonts w:cs="Arial"/>
          <w:iCs/>
          <w:szCs w:val="20"/>
        </w:rPr>
        <w:t xml:space="preserve"> est présenté à titre d’exemple au Tableau 1.</w:t>
      </w:r>
    </w:p>
    <w:p w14:paraId="703271A0" w14:textId="77777777" w:rsidR="00D435FE" w:rsidRDefault="005936AB">
      <w:pPr>
        <w:pStyle w:val="Lgende"/>
        <w:keepNext/>
        <w:rPr>
          <w:rFonts w:eastAsia="Calibri"/>
        </w:rPr>
      </w:pPr>
      <w:bookmarkStart w:id="4" w:name="_Ref482724002"/>
      <w:bookmarkStart w:id="5" w:name="_Toc492913257"/>
      <w:r>
        <w:t xml:space="preserve">Tableau </w:t>
      </w:r>
      <w:bookmarkEnd w:id="4"/>
      <w:r>
        <w:t xml:space="preserve">1 : </w:t>
      </w:r>
      <w:r>
        <w:rPr>
          <w:rFonts w:eastAsia="Calibri"/>
        </w:rPr>
        <w:t>Exemple de codage des variables explicatives par des variables indicatrices</w:t>
      </w:r>
      <w:bookmarkEnd w:id="5"/>
    </w:p>
    <w:tbl>
      <w:tblPr>
        <w:tblW w:w="71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80" w:firstRow="0" w:lastRow="0" w:firstColumn="1" w:lastColumn="0" w:noHBand="1" w:noVBand="1"/>
      </w:tblPr>
      <w:tblGrid>
        <w:gridCol w:w="1798"/>
        <w:gridCol w:w="1797"/>
        <w:gridCol w:w="1797"/>
        <w:gridCol w:w="1797"/>
      </w:tblGrid>
      <w:tr w:rsidR="00D435FE" w14:paraId="7DEBDF22" w14:textId="77777777">
        <w:trPr>
          <w:trHeight w:val="231"/>
          <w:jc w:val="center"/>
        </w:trPr>
        <w:tc>
          <w:tcPr>
            <w:tcW w:w="1797" w:type="dxa"/>
            <w:vMerge w:val="restart"/>
            <w:tcBorders>
              <w:top w:val="single" w:sz="4" w:space="0" w:color="000000"/>
              <w:left w:val="single" w:sz="4" w:space="0" w:color="000000"/>
              <w:bottom w:val="single" w:sz="4" w:space="0" w:color="000000"/>
              <w:right w:val="single" w:sz="4" w:space="0" w:color="000000"/>
            </w:tcBorders>
            <w:shd w:val="pct30" w:color="auto" w:fill="auto"/>
            <w:vAlign w:val="center"/>
          </w:tcPr>
          <w:p w14:paraId="5A3DEF80" w14:textId="77777777" w:rsidR="00D435FE" w:rsidRDefault="005936AB">
            <w:pPr>
              <w:spacing w:after="0"/>
              <w:jc w:val="center"/>
              <w:rPr>
                <w:rFonts w:eastAsia="Calibri"/>
                <w:bCs/>
                <w:color w:val="000000"/>
              </w:rPr>
            </w:pPr>
            <w:r>
              <w:rPr>
                <w:rFonts w:eastAsia="Calibri"/>
                <w:bCs/>
                <w:color w:val="000000"/>
              </w:rPr>
              <w:t>Y</w:t>
            </w:r>
          </w:p>
        </w:tc>
        <w:tc>
          <w:tcPr>
            <w:tcW w:w="1797"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1519DC64" w14:textId="77777777" w:rsidR="00D435FE" w:rsidRDefault="005936AB">
            <w:pPr>
              <w:spacing w:after="0"/>
              <w:jc w:val="center"/>
              <w:rPr>
                <w:rFonts w:eastAsia="Calibri"/>
                <w:color w:val="000000"/>
              </w:rPr>
            </w:pPr>
            <w:r>
              <w:rPr>
                <w:rFonts w:eastAsia="Calibri"/>
                <w:color w:val="000000"/>
              </w:rPr>
              <w:t>Prélèvement</w:t>
            </w:r>
          </w:p>
        </w:tc>
        <w:tc>
          <w:tcPr>
            <w:tcW w:w="179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1C28A878" w14:textId="77777777" w:rsidR="00D435FE" w:rsidRDefault="005936AB">
            <w:pPr>
              <w:spacing w:after="0"/>
              <w:jc w:val="center"/>
              <w:rPr>
                <w:rFonts w:eastAsia="Calibri"/>
                <w:color w:val="000000"/>
              </w:rPr>
            </w:pPr>
            <w:r>
              <w:rPr>
                <w:rFonts w:eastAsia="Calibri"/>
                <w:color w:val="000000"/>
              </w:rPr>
              <w:t>Bilan 24h</w:t>
            </w:r>
          </w:p>
        </w:tc>
        <w:tc>
          <w:tcPr>
            <w:tcW w:w="1797"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5ED3C9A6" w14:textId="77777777" w:rsidR="00D435FE" w:rsidRDefault="005936AB">
            <w:pPr>
              <w:spacing w:after="0"/>
              <w:jc w:val="center"/>
              <w:rPr>
                <w:rFonts w:eastAsia="Calibri"/>
                <w:color w:val="000000"/>
              </w:rPr>
            </w:pPr>
            <w:r>
              <w:rPr>
                <w:rFonts w:eastAsia="Calibri"/>
                <w:color w:val="000000"/>
              </w:rPr>
              <w:t>0</w:t>
            </w:r>
          </w:p>
        </w:tc>
      </w:tr>
      <w:tr w:rsidR="00D435FE" w14:paraId="26FEFF83" w14:textId="77777777">
        <w:trPr>
          <w:trHeight w:val="206"/>
          <w:jc w:val="center"/>
        </w:trPr>
        <w:tc>
          <w:tcPr>
            <w:tcW w:w="1797" w:type="dxa"/>
            <w:vMerge/>
            <w:tcBorders>
              <w:top w:val="single" w:sz="4" w:space="0" w:color="000000"/>
              <w:left w:val="single" w:sz="4" w:space="0" w:color="000000"/>
              <w:bottom w:val="single" w:sz="4" w:space="0" w:color="000000"/>
              <w:right w:val="single" w:sz="4" w:space="0" w:color="000000"/>
            </w:tcBorders>
            <w:shd w:val="pct30" w:color="auto" w:fill="auto"/>
            <w:vAlign w:val="center"/>
          </w:tcPr>
          <w:p w14:paraId="5CDC28E4" w14:textId="77777777" w:rsidR="00D435FE" w:rsidRDefault="00D435FE">
            <w:pPr>
              <w:spacing w:after="0"/>
              <w:jc w:val="center"/>
              <w:rPr>
                <w:rFonts w:eastAsia="Calibri"/>
                <w:bCs/>
                <w:color w:val="000000"/>
              </w:rPr>
            </w:pPr>
          </w:p>
        </w:tc>
        <w:tc>
          <w:tcPr>
            <w:tcW w:w="1797"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05199151" w14:textId="77777777" w:rsidR="00D435FE" w:rsidRDefault="00D435FE">
            <w:pPr>
              <w:spacing w:after="0"/>
              <w:jc w:val="center"/>
              <w:rPr>
                <w:rFonts w:eastAsia="Calibri"/>
                <w:color w:val="000000"/>
              </w:rPr>
            </w:pPr>
          </w:p>
        </w:tc>
        <w:tc>
          <w:tcPr>
            <w:tcW w:w="179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40E885C6" w14:textId="77777777" w:rsidR="00D435FE" w:rsidRDefault="005936AB">
            <w:pPr>
              <w:spacing w:after="0"/>
              <w:jc w:val="center"/>
              <w:rPr>
                <w:rFonts w:eastAsia="Calibri"/>
                <w:color w:val="000000"/>
              </w:rPr>
            </w:pPr>
            <w:r>
              <w:rPr>
                <w:rFonts w:eastAsia="Calibri"/>
                <w:color w:val="000000"/>
              </w:rPr>
              <w:t>Ponctuel</w:t>
            </w:r>
          </w:p>
        </w:tc>
        <w:tc>
          <w:tcPr>
            <w:tcW w:w="1797"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3360E35C" w14:textId="77777777" w:rsidR="00D435FE" w:rsidRDefault="005936AB">
            <w:pPr>
              <w:spacing w:after="0"/>
              <w:jc w:val="center"/>
              <w:rPr>
                <w:rFonts w:eastAsia="Calibri"/>
                <w:b/>
                <w:color w:val="000000"/>
              </w:rPr>
            </w:pPr>
            <w:r>
              <w:rPr>
                <w:rFonts w:eastAsia="Calibri"/>
                <w:b/>
                <w:color w:val="000000"/>
              </w:rPr>
              <w:t>1</w:t>
            </w:r>
          </w:p>
        </w:tc>
      </w:tr>
      <w:tr w:rsidR="00D435FE" w14:paraId="34BF2B6F" w14:textId="77777777">
        <w:trPr>
          <w:trHeight w:val="404"/>
          <w:jc w:val="center"/>
        </w:trPr>
        <w:tc>
          <w:tcPr>
            <w:tcW w:w="1797" w:type="dxa"/>
            <w:vMerge/>
            <w:tcBorders>
              <w:top w:val="single" w:sz="4" w:space="0" w:color="000000"/>
              <w:left w:val="single" w:sz="4" w:space="0" w:color="000000"/>
              <w:bottom w:val="single" w:sz="4" w:space="0" w:color="000000"/>
              <w:right w:val="single" w:sz="4" w:space="0" w:color="000000"/>
            </w:tcBorders>
            <w:shd w:val="pct30" w:color="auto" w:fill="auto"/>
            <w:vAlign w:val="center"/>
          </w:tcPr>
          <w:p w14:paraId="1F9D1C2F" w14:textId="77777777" w:rsidR="00D435FE" w:rsidRDefault="00D435FE">
            <w:pPr>
              <w:spacing w:after="0"/>
              <w:jc w:val="center"/>
              <w:rPr>
                <w:rFonts w:eastAsia="Calibri"/>
                <w:bCs/>
                <w:color w:val="000000"/>
              </w:rPr>
            </w:pPr>
          </w:p>
        </w:tc>
        <w:tc>
          <w:tcPr>
            <w:tcW w:w="1797"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694EF783" w14:textId="77777777" w:rsidR="00D435FE" w:rsidRDefault="005936AB">
            <w:pPr>
              <w:spacing w:after="0"/>
              <w:jc w:val="center"/>
              <w:rPr>
                <w:rFonts w:eastAsia="Calibri"/>
                <w:color w:val="000000"/>
              </w:rPr>
            </w:pPr>
            <w:r>
              <w:rPr>
                <w:rFonts w:eastAsia="Calibri"/>
                <w:color w:val="000000"/>
              </w:rPr>
              <w:t>Famille</w:t>
            </w:r>
          </w:p>
        </w:tc>
        <w:tc>
          <w:tcPr>
            <w:tcW w:w="179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157A3E86" w14:textId="77777777" w:rsidR="00D435FE" w:rsidRDefault="005936AB">
            <w:pPr>
              <w:spacing w:after="0"/>
              <w:jc w:val="center"/>
              <w:rPr>
                <w:rFonts w:eastAsia="Calibri"/>
                <w:color w:val="000000"/>
              </w:rPr>
            </w:pPr>
            <w:r>
              <w:rPr>
                <w:rFonts w:eastAsia="Calibri"/>
                <w:color w:val="000000"/>
              </w:rPr>
              <w:t>A</w:t>
            </w:r>
          </w:p>
        </w:tc>
        <w:tc>
          <w:tcPr>
            <w:tcW w:w="1797"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0DBD5DAB" w14:textId="77777777" w:rsidR="00D435FE" w:rsidRDefault="005936AB">
            <w:pPr>
              <w:spacing w:after="0"/>
              <w:jc w:val="center"/>
              <w:rPr>
                <w:rFonts w:eastAsia="Calibri"/>
                <w:b/>
                <w:color w:val="000000"/>
              </w:rPr>
            </w:pPr>
            <w:r>
              <w:rPr>
                <w:rFonts w:eastAsia="Calibri"/>
                <w:b/>
                <w:color w:val="000000"/>
              </w:rPr>
              <w:t>1</w:t>
            </w:r>
          </w:p>
        </w:tc>
      </w:tr>
      <w:tr w:rsidR="00D435FE" w14:paraId="536549F1" w14:textId="77777777">
        <w:trPr>
          <w:trHeight w:val="404"/>
          <w:jc w:val="center"/>
        </w:trPr>
        <w:tc>
          <w:tcPr>
            <w:tcW w:w="1797" w:type="dxa"/>
            <w:vMerge/>
            <w:tcBorders>
              <w:top w:val="single" w:sz="4" w:space="0" w:color="000000"/>
              <w:left w:val="single" w:sz="4" w:space="0" w:color="000000"/>
              <w:bottom w:val="single" w:sz="4" w:space="0" w:color="000000"/>
              <w:right w:val="single" w:sz="4" w:space="0" w:color="000000"/>
            </w:tcBorders>
            <w:shd w:val="pct30" w:color="auto" w:fill="auto"/>
            <w:vAlign w:val="center"/>
          </w:tcPr>
          <w:p w14:paraId="24F211A6" w14:textId="77777777" w:rsidR="00D435FE" w:rsidRDefault="00D435FE">
            <w:pPr>
              <w:spacing w:after="0"/>
              <w:jc w:val="center"/>
              <w:rPr>
                <w:rFonts w:eastAsia="Calibri"/>
                <w:bCs/>
                <w:color w:val="000000"/>
              </w:rPr>
            </w:pPr>
          </w:p>
        </w:tc>
        <w:tc>
          <w:tcPr>
            <w:tcW w:w="1797"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759BDC5A" w14:textId="77777777" w:rsidR="00D435FE" w:rsidRDefault="00D435FE">
            <w:pPr>
              <w:spacing w:after="0"/>
              <w:jc w:val="center"/>
              <w:rPr>
                <w:rFonts w:eastAsia="Calibri"/>
                <w:color w:val="000000"/>
              </w:rPr>
            </w:pPr>
          </w:p>
        </w:tc>
        <w:tc>
          <w:tcPr>
            <w:tcW w:w="179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77615ABC" w14:textId="77777777" w:rsidR="00D435FE" w:rsidRDefault="005936AB">
            <w:pPr>
              <w:spacing w:after="0"/>
              <w:jc w:val="center"/>
              <w:rPr>
                <w:rFonts w:eastAsia="Calibri"/>
                <w:color w:val="000000"/>
              </w:rPr>
            </w:pPr>
            <w:r>
              <w:rPr>
                <w:rFonts w:eastAsia="Calibri"/>
                <w:color w:val="000000"/>
              </w:rPr>
              <w:t>B</w:t>
            </w:r>
          </w:p>
        </w:tc>
        <w:tc>
          <w:tcPr>
            <w:tcW w:w="1797"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6CE2C9D1" w14:textId="77777777" w:rsidR="00D435FE" w:rsidRDefault="005936AB">
            <w:pPr>
              <w:spacing w:after="0"/>
              <w:jc w:val="center"/>
              <w:rPr>
                <w:rFonts w:eastAsia="Calibri"/>
                <w:color w:val="000000"/>
              </w:rPr>
            </w:pPr>
            <w:r>
              <w:rPr>
                <w:rFonts w:eastAsia="Calibri"/>
                <w:color w:val="000000"/>
              </w:rPr>
              <w:t>0</w:t>
            </w:r>
          </w:p>
        </w:tc>
      </w:tr>
      <w:tr w:rsidR="00D435FE" w14:paraId="347A660B" w14:textId="77777777">
        <w:trPr>
          <w:trHeight w:val="417"/>
          <w:jc w:val="center"/>
        </w:trPr>
        <w:tc>
          <w:tcPr>
            <w:tcW w:w="1797" w:type="dxa"/>
            <w:vMerge/>
            <w:tcBorders>
              <w:top w:val="single" w:sz="4" w:space="0" w:color="000000"/>
              <w:left w:val="single" w:sz="4" w:space="0" w:color="000000"/>
              <w:bottom w:val="single" w:sz="4" w:space="0" w:color="000000"/>
              <w:right w:val="single" w:sz="4" w:space="0" w:color="000000"/>
            </w:tcBorders>
            <w:shd w:val="pct30" w:color="auto" w:fill="auto"/>
            <w:vAlign w:val="center"/>
          </w:tcPr>
          <w:p w14:paraId="6FD2757E" w14:textId="77777777" w:rsidR="00D435FE" w:rsidRDefault="00D435FE">
            <w:pPr>
              <w:spacing w:after="0"/>
              <w:jc w:val="center"/>
              <w:rPr>
                <w:rFonts w:eastAsia="Calibri"/>
                <w:bCs/>
                <w:color w:val="000000"/>
              </w:rPr>
            </w:pPr>
          </w:p>
        </w:tc>
        <w:tc>
          <w:tcPr>
            <w:tcW w:w="1797"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77F265E5" w14:textId="77777777" w:rsidR="00D435FE" w:rsidRDefault="00D435FE">
            <w:pPr>
              <w:spacing w:after="0"/>
              <w:jc w:val="center"/>
              <w:rPr>
                <w:rFonts w:eastAsia="Calibri"/>
                <w:color w:val="000000"/>
              </w:rPr>
            </w:pPr>
          </w:p>
        </w:tc>
        <w:tc>
          <w:tcPr>
            <w:tcW w:w="179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293BFD9A" w14:textId="77777777" w:rsidR="00D435FE" w:rsidRDefault="005936AB">
            <w:pPr>
              <w:spacing w:after="0"/>
              <w:jc w:val="center"/>
              <w:rPr>
                <w:rFonts w:eastAsia="Calibri"/>
                <w:color w:val="000000"/>
              </w:rPr>
            </w:pPr>
            <w:r>
              <w:rPr>
                <w:rFonts w:eastAsia="Calibri"/>
                <w:color w:val="000000"/>
              </w:rPr>
              <w:t>C</w:t>
            </w:r>
          </w:p>
        </w:tc>
        <w:tc>
          <w:tcPr>
            <w:tcW w:w="1797"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7D7CB6B6" w14:textId="77777777" w:rsidR="00D435FE" w:rsidRDefault="005936AB">
            <w:pPr>
              <w:spacing w:after="0"/>
              <w:jc w:val="center"/>
              <w:rPr>
                <w:rFonts w:eastAsia="Calibri"/>
                <w:color w:val="000000"/>
              </w:rPr>
            </w:pPr>
            <w:r>
              <w:rPr>
                <w:rFonts w:eastAsia="Calibri"/>
                <w:color w:val="000000"/>
              </w:rPr>
              <w:t>0</w:t>
            </w:r>
          </w:p>
        </w:tc>
      </w:tr>
      <w:tr w:rsidR="00D435FE" w14:paraId="6484BE81" w14:textId="77777777">
        <w:trPr>
          <w:trHeight w:val="404"/>
          <w:jc w:val="center"/>
        </w:trPr>
        <w:tc>
          <w:tcPr>
            <w:tcW w:w="1797" w:type="dxa"/>
            <w:vMerge/>
            <w:tcBorders>
              <w:top w:val="single" w:sz="4" w:space="0" w:color="000000"/>
              <w:left w:val="single" w:sz="4" w:space="0" w:color="000000"/>
              <w:bottom w:val="single" w:sz="4" w:space="0" w:color="000000"/>
              <w:right w:val="single" w:sz="4" w:space="0" w:color="000000"/>
            </w:tcBorders>
            <w:shd w:val="pct30" w:color="auto" w:fill="auto"/>
            <w:vAlign w:val="center"/>
          </w:tcPr>
          <w:p w14:paraId="56A98CA3" w14:textId="77777777" w:rsidR="00D435FE" w:rsidRDefault="00D435FE">
            <w:pPr>
              <w:spacing w:after="0"/>
              <w:jc w:val="center"/>
              <w:rPr>
                <w:rFonts w:eastAsia="Calibri"/>
                <w:bCs/>
                <w:color w:val="000000"/>
              </w:rPr>
            </w:pPr>
          </w:p>
        </w:tc>
        <w:tc>
          <w:tcPr>
            <w:tcW w:w="1797"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41851E7C" w14:textId="77777777" w:rsidR="00D435FE" w:rsidRDefault="005936AB">
            <w:pPr>
              <w:spacing w:after="0"/>
              <w:jc w:val="center"/>
              <w:rPr>
                <w:rFonts w:eastAsia="Calibri"/>
                <w:color w:val="000000"/>
              </w:rPr>
            </w:pPr>
            <w:r>
              <w:rPr>
                <w:rFonts w:eastAsia="Calibri"/>
                <w:color w:val="000000"/>
              </w:rPr>
              <w:t>Âge</w:t>
            </w:r>
          </w:p>
        </w:tc>
        <w:tc>
          <w:tcPr>
            <w:tcW w:w="179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2AEF49A6" w14:textId="77777777" w:rsidR="00D435FE" w:rsidRDefault="005936AB">
            <w:pPr>
              <w:spacing w:after="0"/>
              <w:jc w:val="center"/>
              <w:rPr>
                <w:rFonts w:eastAsia="Calibri"/>
                <w:color w:val="000000"/>
              </w:rPr>
            </w:pPr>
            <w:r>
              <w:rPr>
                <w:rFonts w:eastAsia="Calibri"/>
                <w:color w:val="000000"/>
              </w:rPr>
              <w:t>&lt; 2 ans</w:t>
            </w:r>
          </w:p>
        </w:tc>
        <w:tc>
          <w:tcPr>
            <w:tcW w:w="1797"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38E92D89" w14:textId="77777777" w:rsidR="00D435FE" w:rsidRDefault="005936AB">
            <w:pPr>
              <w:spacing w:after="0"/>
              <w:jc w:val="center"/>
              <w:rPr>
                <w:rFonts w:eastAsia="Calibri"/>
                <w:color w:val="000000"/>
              </w:rPr>
            </w:pPr>
            <w:r>
              <w:rPr>
                <w:rFonts w:eastAsia="Calibri"/>
                <w:color w:val="000000"/>
              </w:rPr>
              <w:t>0</w:t>
            </w:r>
          </w:p>
        </w:tc>
      </w:tr>
      <w:tr w:rsidR="00D435FE" w14:paraId="0C14DE91" w14:textId="77777777">
        <w:trPr>
          <w:trHeight w:val="404"/>
          <w:jc w:val="center"/>
        </w:trPr>
        <w:tc>
          <w:tcPr>
            <w:tcW w:w="1797" w:type="dxa"/>
            <w:vMerge/>
            <w:tcBorders>
              <w:top w:val="single" w:sz="4" w:space="0" w:color="000000"/>
              <w:left w:val="single" w:sz="4" w:space="0" w:color="000000"/>
              <w:bottom w:val="single" w:sz="4" w:space="0" w:color="000000"/>
              <w:right w:val="single" w:sz="4" w:space="0" w:color="000000"/>
            </w:tcBorders>
            <w:shd w:val="pct30" w:color="auto" w:fill="auto"/>
            <w:vAlign w:val="center"/>
          </w:tcPr>
          <w:p w14:paraId="538D3D9E" w14:textId="77777777" w:rsidR="00D435FE" w:rsidRDefault="00D435FE">
            <w:pPr>
              <w:spacing w:after="0"/>
              <w:jc w:val="center"/>
              <w:rPr>
                <w:rFonts w:eastAsia="Calibri"/>
                <w:bCs/>
                <w:color w:val="000000"/>
              </w:rPr>
            </w:pPr>
          </w:p>
        </w:tc>
        <w:tc>
          <w:tcPr>
            <w:tcW w:w="1797"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6C81BFAC" w14:textId="77777777" w:rsidR="00D435FE" w:rsidRDefault="00D435FE">
            <w:pPr>
              <w:spacing w:after="0"/>
              <w:jc w:val="center"/>
              <w:rPr>
                <w:rFonts w:eastAsia="Calibri"/>
                <w:color w:val="000000"/>
              </w:rPr>
            </w:pPr>
          </w:p>
        </w:tc>
        <w:tc>
          <w:tcPr>
            <w:tcW w:w="179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48A30B31" w14:textId="77777777" w:rsidR="00D435FE" w:rsidRDefault="005936AB">
            <w:pPr>
              <w:spacing w:after="0"/>
              <w:jc w:val="center"/>
              <w:rPr>
                <w:rFonts w:eastAsia="Calibri"/>
                <w:color w:val="000000"/>
              </w:rPr>
            </w:pPr>
            <w:r>
              <w:rPr>
                <w:rFonts w:eastAsia="Calibri"/>
                <w:color w:val="000000"/>
              </w:rPr>
              <w:t>2 ans – 4 ans</w:t>
            </w:r>
          </w:p>
        </w:tc>
        <w:tc>
          <w:tcPr>
            <w:tcW w:w="1797"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31F12B3F" w14:textId="77777777" w:rsidR="00D435FE" w:rsidRDefault="005936AB">
            <w:pPr>
              <w:spacing w:after="0"/>
              <w:jc w:val="center"/>
              <w:rPr>
                <w:rFonts w:eastAsia="Calibri"/>
                <w:color w:val="000000"/>
              </w:rPr>
            </w:pPr>
            <w:r>
              <w:rPr>
                <w:rFonts w:eastAsia="Calibri"/>
                <w:color w:val="000000"/>
              </w:rPr>
              <w:t>0</w:t>
            </w:r>
          </w:p>
        </w:tc>
      </w:tr>
      <w:tr w:rsidR="00D435FE" w14:paraId="5B43FD24" w14:textId="77777777">
        <w:trPr>
          <w:trHeight w:val="417"/>
          <w:jc w:val="center"/>
        </w:trPr>
        <w:tc>
          <w:tcPr>
            <w:tcW w:w="1797" w:type="dxa"/>
            <w:vMerge/>
            <w:tcBorders>
              <w:top w:val="single" w:sz="4" w:space="0" w:color="000000"/>
              <w:left w:val="single" w:sz="4" w:space="0" w:color="000000"/>
              <w:bottom w:val="single" w:sz="4" w:space="0" w:color="000000"/>
              <w:right w:val="single" w:sz="4" w:space="0" w:color="000000"/>
            </w:tcBorders>
            <w:shd w:val="pct30" w:color="auto" w:fill="auto"/>
            <w:vAlign w:val="center"/>
          </w:tcPr>
          <w:p w14:paraId="17AB0984" w14:textId="77777777" w:rsidR="00D435FE" w:rsidRDefault="00D435FE">
            <w:pPr>
              <w:spacing w:after="0"/>
              <w:jc w:val="center"/>
              <w:rPr>
                <w:rFonts w:eastAsia="Calibri"/>
                <w:bCs/>
                <w:color w:val="000000"/>
              </w:rPr>
            </w:pPr>
          </w:p>
        </w:tc>
        <w:tc>
          <w:tcPr>
            <w:tcW w:w="1797"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1798C035" w14:textId="77777777" w:rsidR="00D435FE" w:rsidRDefault="00D435FE">
            <w:pPr>
              <w:spacing w:after="0"/>
              <w:jc w:val="center"/>
              <w:rPr>
                <w:rFonts w:eastAsia="Calibri"/>
                <w:color w:val="000000"/>
              </w:rPr>
            </w:pPr>
          </w:p>
        </w:tc>
        <w:tc>
          <w:tcPr>
            <w:tcW w:w="179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5A126E05" w14:textId="77777777" w:rsidR="00D435FE" w:rsidRDefault="005936AB">
            <w:pPr>
              <w:spacing w:after="0"/>
              <w:jc w:val="center"/>
              <w:rPr>
                <w:rFonts w:eastAsia="Calibri"/>
                <w:color w:val="000000"/>
              </w:rPr>
            </w:pPr>
            <w:r>
              <w:rPr>
                <w:rFonts w:ascii="Lucida Console" w:eastAsia="Calibri" w:hAnsi="Lucida Console"/>
                <w:color w:val="000000"/>
              </w:rPr>
              <w:t xml:space="preserve">&gt; </w:t>
            </w:r>
            <w:r>
              <w:rPr>
                <w:rFonts w:eastAsia="Calibri"/>
                <w:color w:val="000000"/>
              </w:rPr>
              <w:t>4 ans</w:t>
            </w:r>
          </w:p>
        </w:tc>
        <w:tc>
          <w:tcPr>
            <w:tcW w:w="1797"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10139B93" w14:textId="77777777" w:rsidR="00D435FE" w:rsidRDefault="005936AB">
            <w:pPr>
              <w:spacing w:after="0"/>
              <w:jc w:val="center"/>
              <w:rPr>
                <w:rFonts w:eastAsia="Calibri"/>
                <w:b/>
                <w:color w:val="000000"/>
              </w:rPr>
            </w:pPr>
            <w:r>
              <w:rPr>
                <w:rFonts w:eastAsia="Calibri"/>
                <w:b/>
                <w:color w:val="000000"/>
              </w:rPr>
              <w:t>1</w:t>
            </w:r>
          </w:p>
        </w:tc>
      </w:tr>
      <w:tr w:rsidR="00D435FE" w14:paraId="169FE837" w14:textId="77777777">
        <w:trPr>
          <w:trHeight w:val="404"/>
          <w:jc w:val="center"/>
        </w:trPr>
        <w:tc>
          <w:tcPr>
            <w:tcW w:w="1797" w:type="dxa"/>
            <w:vMerge/>
            <w:tcBorders>
              <w:top w:val="single" w:sz="4" w:space="0" w:color="000000"/>
              <w:left w:val="single" w:sz="4" w:space="0" w:color="000000"/>
              <w:bottom w:val="single" w:sz="4" w:space="0" w:color="000000"/>
              <w:right w:val="single" w:sz="4" w:space="0" w:color="000000"/>
            </w:tcBorders>
            <w:shd w:val="pct30" w:color="auto" w:fill="auto"/>
            <w:vAlign w:val="center"/>
          </w:tcPr>
          <w:p w14:paraId="5A532465" w14:textId="77777777" w:rsidR="00D435FE" w:rsidRDefault="00D435FE">
            <w:pPr>
              <w:spacing w:after="0"/>
              <w:jc w:val="center"/>
              <w:rPr>
                <w:rFonts w:eastAsia="Calibri"/>
                <w:bCs/>
                <w:color w:val="000000"/>
              </w:rPr>
            </w:pPr>
          </w:p>
        </w:tc>
        <w:tc>
          <w:tcPr>
            <w:tcW w:w="1797"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42A81A1F" w14:textId="77777777" w:rsidR="00D435FE" w:rsidRDefault="005936AB">
            <w:pPr>
              <w:spacing w:after="0"/>
              <w:jc w:val="center"/>
              <w:rPr>
                <w:rFonts w:eastAsia="Calibri"/>
                <w:color w:val="000000"/>
              </w:rPr>
            </w:pPr>
            <w:r>
              <w:rPr>
                <w:rFonts w:eastAsia="Calibri"/>
                <w:color w:val="000000"/>
              </w:rPr>
              <w:t>Charge</w:t>
            </w:r>
          </w:p>
        </w:tc>
        <w:tc>
          <w:tcPr>
            <w:tcW w:w="179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45FEF286" w14:textId="77777777" w:rsidR="00D435FE" w:rsidRDefault="005936AB">
            <w:pPr>
              <w:spacing w:after="0"/>
              <w:jc w:val="center"/>
              <w:rPr>
                <w:rFonts w:eastAsia="Calibri" w:cs="Arial"/>
                <w:color w:val="000000"/>
              </w:rPr>
            </w:pPr>
            <w:r>
              <w:rPr>
                <w:rFonts w:eastAsia="Calibri" w:cs="Arial"/>
                <w:color w:val="000000"/>
              </w:rPr>
              <w:t>&lt; 30%</w:t>
            </w:r>
          </w:p>
        </w:tc>
        <w:tc>
          <w:tcPr>
            <w:tcW w:w="1797"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60AAE1A9" w14:textId="77777777" w:rsidR="00D435FE" w:rsidRDefault="005936AB">
            <w:pPr>
              <w:spacing w:after="0"/>
              <w:jc w:val="center"/>
              <w:rPr>
                <w:rFonts w:eastAsia="Calibri" w:cs="Arial"/>
                <w:b/>
                <w:color w:val="000000"/>
              </w:rPr>
            </w:pPr>
            <w:r>
              <w:rPr>
                <w:rFonts w:eastAsia="Calibri" w:cs="Arial"/>
                <w:b/>
                <w:color w:val="000000"/>
              </w:rPr>
              <w:t>1</w:t>
            </w:r>
          </w:p>
        </w:tc>
      </w:tr>
      <w:tr w:rsidR="00D435FE" w14:paraId="0D6DAFF4" w14:textId="77777777">
        <w:trPr>
          <w:trHeight w:val="404"/>
          <w:jc w:val="center"/>
        </w:trPr>
        <w:tc>
          <w:tcPr>
            <w:tcW w:w="1797" w:type="dxa"/>
            <w:vMerge/>
            <w:tcBorders>
              <w:top w:val="single" w:sz="4" w:space="0" w:color="000000"/>
              <w:left w:val="single" w:sz="4" w:space="0" w:color="000000"/>
              <w:bottom w:val="single" w:sz="4" w:space="0" w:color="000000"/>
              <w:right w:val="single" w:sz="4" w:space="0" w:color="000000"/>
            </w:tcBorders>
            <w:shd w:val="pct30" w:color="auto" w:fill="auto"/>
            <w:vAlign w:val="center"/>
          </w:tcPr>
          <w:p w14:paraId="0F9C34F7" w14:textId="77777777" w:rsidR="00D435FE" w:rsidRDefault="00D435FE">
            <w:pPr>
              <w:spacing w:after="0"/>
              <w:jc w:val="center"/>
              <w:rPr>
                <w:rFonts w:eastAsia="Calibri"/>
                <w:b/>
                <w:bCs/>
                <w:color w:val="000000"/>
              </w:rPr>
            </w:pPr>
          </w:p>
        </w:tc>
        <w:tc>
          <w:tcPr>
            <w:tcW w:w="1797"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76A896EF" w14:textId="77777777" w:rsidR="00D435FE" w:rsidRDefault="00D435FE">
            <w:pPr>
              <w:spacing w:after="0"/>
              <w:jc w:val="center"/>
              <w:rPr>
                <w:rFonts w:eastAsia="Calibri"/>
                <w:color w:val="000000"/>
              </w:rPr>
            </w:pPr>
          </w:p>
        </w:tc>
        <w:tc>
          <w:tcPr>
            <w:tcW w:w="179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3CB3394C" w14:textId="77777777" w:rsidR="00D435FE" w:rsidRDefault="005936AB">
            <w:pPr>
              <w:spacing w:after="0"/>
              <w:jc w:val="center"/>
              <w:rPr>
                <w:rFonts w:eastAsia="Calibri" w:cs="Arial"/>
                <w:color w:val="000000"/>
              </w:rPr>
            </w:pPr>
            <w:r>
              <w:rPr>
                <w:rFonts w:eastAsia="Calibri" w:cs="Arial"/>
                <w:color w:val="000000"/>
              </w:rPr>
              <w:t xml:space="preserve">30% </w:t>
            </w:r>
            <w:r>
              <w:rPr>
                <w:rFonts w:eastAsia="Calibri"/>
                <w:color w:val="000000"/>
              </w:rPr>
              <w:t>–</w:t>
            </w:r>
            <w:r>
              <w:rPr>
                <w:rFonts w:eastAsia="Calibri" w:cs="Arial"/>
                <w:color w:val="000000"/>
              </w:rPr>
              <w:t xml:space="preserve"> 70%</w:t>
            </w:r>
          </w:p>
        </w:tc>
        <w:tc>
          <w:tcPr>
            <w:tcW w:w="1797"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42A9F6CB" w14:textId="77777777" w:rsidR="00D435FE" w:rsidRDefault="005936AB">
            <w:pPr>
              <w:spacing w:after="0"/>
              <w:jc w:val="center"/>
              <w:rPr>
                <w:rFonts w:eastAsia="Calibri" w:cs="Arial"/>
                <w:color w:val="000000"/>
              </w:rPr>
            </w:pPr>
            <w:r>
              <w:rPr>
                <w:rFonts w:eastAsia="Calibri" w:cs="Arial"/>
                <w:color w:val="000000"/>
              </w:rPr>
              <w:t>0</w:t>
            </w:r>
          </w:p>
        </w:tc>
      </w:tr>
      <w:tr w:rsidR="00D435FE" w14:paraId="3FDBAE6F" w14:textId="77777777">
        <w:trPr>
          <w:trHeight w:val="417"/>
          <w:jc w:val="center"/>
        </w:trPr>
        <w:tc>
          <w:tcPr>
            <w:tcW w:w="1797" w:type="dxa"/>
            <w:vMerge/>
            <w:tcBorders>
              <w:top w:val="single" w:sz="4" w:space="0" w:color="000000"/>
              <w:left w:val="single" w:sz="4" w:space="0" w:color="000000"/>
              <w:bottom w:val="single" w:sz="4" w:space="0" w:color="000000"/>
              <w:right w:val="single" w:sz="4" w:space="0" w:color="000000"/>
            </w:tcBorders>
            <w:shd w:val="pct30" w:color="auto" w:fill="auto"/>
            <w:vAlign w:val="center"/>
          </w:tcPr>
          <w:p w14:paraId="4403CDD3" w14:textId="77777777" w:rsidR="00D435FE" w:rsidRDefault="00D435FE">
            <w:pPr>
              <w:spacing w:after="0"/>
              <w:jc w:val="center"/>
              <w:rPr>
                <w:rFonts w:eastAsia="Calibri"/>
                <w:b/>
                <w:bCs/>
                <w:color w:val="000000"/>
              </w:rPr>
            </w:pPr>
          </w:p>
        </w:tc>
        <w:tc>
          <w:tcPr>
            <w:tcW w:w="1797"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60FBFB9B" w14:textId="77777777" w:rsidR="00D435FE" w:rsidRDefault="00D435FE">
            <w:pPr>
              <w:spacing w:after="0"/>
              <w:jc w:val="center"/>
              <w:rPr>
                <w:rFonts w:eastAsia="Calibri"/>
                <w:color w:val="000000"/>
              </w:rPr>
            </w:pPr>
          </w:p>
        </w:tc>
        <w:tc>
          <w:tcPr>
            <w:tcW w:w="1797" w:type="dxa"/>
            <w:tcBorders>
              <w:top w:val="single" w:sz="4" w:space="0" w:color="000000"/>
              <w:left w:val="single" w:sz="4" w:space="0" w:color="000000"/>
              <w:bottom w:val="single" w:sz="4" w:space="0" w:color="000000"/>
              <w:right w:val="single" w:sz="4" w:space="0" w:color="000000"/>
            </w:tcBorders>
            <w:shd w:val="pct15" w:color="auto" w:fill="auto"/>
            <w:vAlign w:val="center"/>
          </w:tcPr>
          <w:p w14:paraId="3DF04EFD" w14:textId="77777777" w:rsidR="00D435FE" w:rsidRDefault="005936AB">
            <w:pPr>
              <w:spacing w:after="0"/>
              <w:jc w:val="center"/>
              <w:rPr>
                <w:rFonts w:eastAsia="Calibri" w:cs="Arial"/>
                <w:color w:val="000000"/>
              </w:rPr>
            </w:pPr>
            <w:r>
              <w:rPr>
                <w:rFonts w:ascii="Lucida Console" w:eastAsia="Calibri" w:hAnsi="Lucida Console"/>
                <w:color w:val="000000"/>
              </w:rPr>
              <w:t xml:space="preserve">&gt; </w:t>
            </w:r>
            <w:r>
              <w:rPr>
                <w:rFonts w:eastAsia="Calibri"/>
                <w:color w:val="000000"/>
              </w:rPr>
              <w:t>70%</w:t>
            </w:r>
          </w:p>
        </w:tc>
        <w:tc>
          <w:tcPr>
            <w:tcW w:w="1797"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4713060B" w14:textId="77777777" w:rsidR="00D435FE" w:rsidRDefault="005936AB">
            <w:pPr>
              <w:spacing w:after="0"/>
              <w:jc w:val="center"/>
              <w:rPr>
                <w:rFonts w:eastAsia="Calibri" w:cs="Arial"/>
                <w:color w:val="000000"/>
              </w:rPr>
            </w:pPr>
            <w:r>
              <w:rPr>
                <w:rFonts w:eastAsia="Calibri" w:cs="Arial"/>
                <w:color w:val="000000"/>
              </w:rPr>
              <w:t>0</w:t>
            </w:r>
          </w:p>
        </w:tc>
      </w:tr>
    </w:tbl>
    <w:p w14:paraId="69BFBB61" w14:textId="77777777" w:rsidR="00D435FE" w:rsidRDefault="00D435FE">
      <w:pPr>
        <w:spacing w:line="276" w:lineRule="auto"/>
        <w:jc w:val="both"/>
        <w:rPr>
          <w:rFonts w:eastAsia="Calibri"/>
        </w:rPr>
      </w:pPr>
    </w:p>
    <w:p w14:paraId="7B845705" w14:textId="77777777" w:rsidR="00D435FE" w:rsidRDefault="005936AB">
      <w:pPr>
        <w:spacing w:line="276" w:lineRule="auto"/>
        <w:jc w:val="both"/>
        <w:rPr>
          <w:rFonts w:cs="Arial"/>
          <w:b/>
          <w:iCs/>
          <w:szCs w:val="20"/>
        </w:rPr>
      </w:pPr>
      <w:r>
        <w:rPr>
          <w:rFonts w:cs="Arial"/>
          <w:iCs/>
          <w:szCs w:val="20"/>
        </w:rPr>
        <w:t xml:space="preserve">Dans le modèle, un ensemble de référence est choisi et est ensuite comparé aux autres modalités. Dans le suivi </w:t>
      </w:r>
      <w:r>
        <w:rPr>
          <w:rFonts w:cs="Arial"/>
          <w:i/>
          <w:iCs/>
          <w:szCs w:val="20"/>
        </w:rPr>
        <w:t>in situ</w:t>
      </w:r>
      <w:r>
        <w:rPr>
          <w:rFonts w:cs="Arial"/>
          <w:iCs/>
          <w:szCs w:val="20"/>
        </w:rPr>
        <w:t xml:space="preserve">, l’ensemble de référence (Tableau 2) utilisé était composé de l’effectif le plus élevé observé parmi les modalités de chaque variable explicative, soit ici l’un des deux choix de prélèvement, l’une des trois familles, l’une des trois classes d’âge et l’une des trois classes de taux de charge. </w:t>
      </w:r>
      <w:r>
        <w:rPr>
          <w:rFonts w:cs="Arial"/>
          <w:b/>
          <w:iCs/>
          <w:szCs w:val="20"/>
        </w:rPr>
        <w:t xml:space="preserve">Le choix de la référence peut être adapté à l’étude de l’utilisateur, et n’influe pas </w:t>
      </w:r>
      <w:r w:rsidRPr="00390D2D">
        <w:rPr>
          <w:rFonts w:cs="Arial"/>
          <w:b/>
          <w:iCs/>
          <w:szCs w:val="20"/>
        </w:rPr>
        <w:t xml:space="preserve">sur </w:t>
      </w:r>
      <w:r>
        <w:rPr>
          <w:rFonts w:cs="Arial"/>
          <w:b/>
          <w:iCs/>
          <w:szCs w:val="20"/>
        </w:rPr>
        <w:t>les conclusions du modèle.</w:t>
      </w:r>
    </w:p>
    <w:p w14:paraId="1F0B5267" w14:textId="5ADC3AD4" w:rsidR="00D435FE" w:rsidRDefault="005936AB">
      <w:pPr>
        <w:spacing w:line="276" w:lineRule="auto"/>
        <w:jc w:val="both"/>
        <w:rPr>
          <w:rFonts w:cstheme="minorHAnsi"/>
          <w:iCs/>
          <w:szCs w:val="20"/>
        </w:rPr>
      </w:pPr>
      <w:r>
        <w:rPr>
          <w:rFonts w:cs="Arial"/>
          <w:iCs/>
          <w:szCs w:val="20"/>
        </w:rPr>
        <w:lastRenderedPageBreak/>
        <w:t>Ensuite, les effets des autres variables explicatives par rapport à cet ensemble de référence seront testés et donneront les coefficients correspondants (β</w:t>
      </w:r>
      <w:r>
        <w:rPr>
          <w:rFonts w:cs="Arial"/>
          <w:iCs/>
          <w:szCs w:val="20"/>
          <w:vertAlign w:val="subscript"/>
        </w:rPr>
        <w:t>1</w:t>
      </w:r>
      <w:r>
        <w:rPr>
          <w:rFonts w:cs="Arial"/>
          <w:iCs/>
          <w:szCs w:val="20"/>
        </w:rPr>
        <w:t>, β</w:t>
      </w:r>
      <w:r>
        <w:rPr>
          <w:rFonts w:cs="Arial"/>
          <w:iCs/>
          <w:szCs w:val="20"/>
          <w:vertAlign w:val="subscript"/>
        </w:rPr>
        <w:t>2</w:t>
      </w:r>
      <w:r>
        <w:rPr>
          <w:rFonts w:cs="Arial"/>
          <w:iCs/>
          <w:szCs w:val="20"/>
        </w:rPr>
        <w:t>, β</w:t>
      </w:r>
      <w:r>
        <w:rPr>
          <w:rFonts w:cs="Arial"/>
          <w:iCs/>
          <w:szCs w:val="20"/>
          <w:vertAlign w:val="subscript"/>
        </w:rPr>
        <w:t>3</w:t>
      </w:r>
      <w:r>
        <w:rPr>
          <w:rFonts w:cs="Arial"/>
          <w:iCs/>
          <w:szCs w:val="20"/>
        </w:rPr>
        <w:t>, β</w:t>
      </w:r>
      <w:r>
        <w:rPr>
          <w:rFonts w:cs="Arial"/>
          <w:iCs/>
          <w:szCs w:val="20"/>
          <w:vertAlign w:val="subscript"/>
        </w:rPr>
        <w:t>4</w:t>
      </w:r>
      <w:r>
        <w:rPr>
          <w:rFonts w:cs="Arial"/>
          <w:iCs/>
          <w:szCs w:val="20"/>
        </w:rPr>
        <w:t>, β</w:t>
      </w:r>
      <w:r>
        <w:rPr>
          <w:rFonts w:cs="Arial"/>
          <w:iCs/>
          <w:szCs w:val="20"/>
          <w:vertAlign w:val="subscript"/>
        </w:rPr>
        <w:t>5</w:t>
      </w:r>
      <w:r>
        <w:rPr>
          <w:rFonts w:cs="Arial"/>
          <w:iCs/>
          <w:szCs w:val="20"/>
        </w:rPr>
        <w:t>, β</w:t>
      </w:r>
      <w:r>
        <w:rPr>
          <w:rFonts w:cs="Arial"/>
          <w:iCs/>
          <w:szCs w:val="20"/>
          <w:vertAlign w:val="subscript"/>
        </w:rPr>
        <w:t>6</w:t>
      </w:r>
      <w:r>
        <w:rPr>
          <w:rFonts w:cs="Arial"/>
          <w:iCs/>
          <w:szCs w:val="20"/>
        </w:rPr>
        <w:t>, β</w:t>
      </w:r>
      <w:r>
        <w:rPr>
          <w:rFonts w:cs="Arial"/>
          <w:iCs/>
          <w:szCs w:val="20"/>
          <w:vertAlign w:val="subscript"/>
        </w:rPr>
        <w:t>7</w:t>
      </w:r>
      <w:r>
        <w:rPr>
          <w:rFonts w:cs="Arial"/>
          <w:iCs/>
          <w:szCs w:val="20"/>
        </w:rPr>
        <w:t xml:space="preserve">, </w:t>
      </w:r>
      <w:r w:rsidR="00390D2D" w:rsidRPr="00390D2D">
        <w:rPr>
          <w:rFonts w:cstheme="minorHAnsi"/>
          <w:iCs/>
          <w:szCs w:val="20"/>
        </w:rPr>
        <w:t>…)</w:t>
      </w:r>
      <w:r w:rsidRPr="00390D2D">
        <w:rPr>
          <w:rFonts w:cstheme="minorHAnsi"/>
          <w:szCs w:val="20"/>
        </w:rPr>
        <w:t>, ainsi que</w:t>
      </w:r>
      <w:r>
        <w:rPr>
          <w:rFonts w:cstheme="minorHAnsi"/>
          <w:szCs w:val="20"/>
        </w:rPr>
        <w:t xml:space="preserve"> les coefficients (</w:t>
      </w:r>
      <w:r>
        <w:rPr>
          <w:rFonts w:ascii="Cambria Math" w:hAnsi="Cambria Math" w:cs="Cambria Math"/>
          <w:szCs w:val="20"/>
        </w:rPr>
        <w:t>𝛾</w:t>
      </w:r>
      <w:r>
        <w:rPr>
          <w:rFonts w:cstheme="minorHAnsi"/>
          <w:szCs w:val="20"/>
          <w:vertAlign w:val="subscript"/>
        </w:rPr>
        <w:t>1</w:t>
      </w:r>
      <w:r>
        <w:rPr>
          <w:rFonts w:cstheme="minorHAnsi"/>
          <w:szCs w:val="20"/>
        </w:rPr>
        <w:t xml:space="preserve">, </w:t>
      </w:r>
      <w:r>
        <w:rPr>
          <w:rFonts w:ascii="Cambria Math" w:hAnsi="Cambria Math" w:cs="Cambria Math"/>
          <w:szCs w:val="20"/>
        </w:rPr>
        <w:t>𝛾</w:t>
      </w:r>
      <w:r>
        <w:rPr>
          <w:rFonts w:cstheme="minorHAnsi"/>
          <w:szCs w:val="20"/>
          <w:vertAlign w:val="subscript"/>
        </w:rPr>
        <w:t>2</w:t>
      </w:r>
      <w:r>
        <w:rPr>
          <w:rFonts w:cstheme="minorHAnsi"/>
          <w:szCs w:val="20"/>
        </w:rPr>
        <w:t xml:space="preserve">, </w:t>
      </w:r>
      <w:r>
        <w:rPr>
          <w:rFonts w:ascii="Cambria Math" w:hAnsi="Cambria Math" w:cs="Cambria Math"/>
          <w:szCs w:val="20"/>
        </w:rPr>
        <w:t>𝛾</w:t>
      </w:r>
      <w:r>
        <w:rPr>
          <w:rFonts w:cstheme="minorHAnsi"/>
          <w:szCs w:val="20"/>
          <w:vertAlign w:val="subscript"/>
        </w:rPr>
        <w:t>3</w:t>
      </w:r>
      <w:r>
        <w:rPr>
          <w:rFonts w:cstheme="minorHAnsi"/>
          <w:szCs w:val="20"/>
        </w:rPr>
        <w:t xml:space="preserve">, </w:t>
      </w:r>
      <w:r>
        <w:rPr>
          <w:rFonts w:ascii="Cambria Math" w:hAnsi="Cambria Math" w:cs="Cambria Math"/>
          <w:szCs w:val="20"/>
        </w:rPr>
        <w:t>𝛾</w:t>
      </w:r>
      <w:r>
        <w:rPr>
          <w:rFonts w:cstheme="minorHAnsi"/>
          <w:szCs w:val="20"/>
          <w:vertAlign w:val="subscript"/>
        </w:rPr>
        <w:t>4</w:t>
      </w:r>
      <w:r>
        <w:rPr>
          <w:rFonts w:cstheme="minorHAnsi"/>
          <w:szCs w:val="20"/>
        </w:rPr>
        <w:t xml:space="preserve">, </w:t>
      </w:r>
      <w:r>
        <w:rPr>
          <w:rFonts w:ascii="Cambria Math" w:hAnsi="Cambria Math" w:cs="Cambria Math"/>
          <w:szCs w:val="20"/>
        </w:rPr>
        <w:t>𝛾</w:t>
      </w:r>
      <w:r>
        <w:rPr>
          <w:rFonts w:cstheme="minorHAnsi"/>
          <w:szCs w:val="20"/>
          <w:vertAlign w:val="subscript"/>
        </w:rPr>
        <w:t>5</w:t>
      </w:r>
      <w:r>
        <w:rPr>
          <w:rFonts w:cstheme="minorHAnsi"/>
          <w:szCs w:val="20"/>
        </w:rPr>
        <w:t xml:space="preserve">, </w:t>
      </w:r>
      <w:r>
        <w:rPr>
          <w:rFonts w:ascii="Cambria Math" w:hAnsi="Cambria Math" w:cs="Cambria Math"/>
          <w:szCs w:val="20"/>
        </w:rPr>
        <w:t>𝛾</w:t>
      </w:r>
      <w:r>
        <w:rPr>
          <w:rFonts w:cstheme="minorHAnsi"/>
          <w:szCs w:val="20"/>
          <w:vertAlign w:val="subscript"/>
        </w:rPr>
        <w:t>6</w:t>
      </w:r>
      <w:r>
        <w:rPr>
          <w:rFonts w:cstheme="minorHAnsi"/>
          <w:szCs w:val="20"/>
        </w:rPr>
        <w:t xml:space="preserve">, </w:t>
      </w:r>
      <w:r>
        <w:rPr>
          <w:rFonts w:ascii="Cambria Math" w:hAnsi="Cambria Math" w:cs="Cambria Math"/>
          <w:szCs w:val="20"/>
        </w:rPr>
        <w:t>𝛾</w:t>
      </w:r>
      <w:r>
        <w:rPr>
          <w:rFonts w:cstheme="minorHAnsi"/>
          <w:szCs w:val="20"/>
          <w:vertAlign w:val="subscript"/>
        </w:rPr>
        <w:t>7</w:t>
      </w:r>
      <w:r>
        <w:rPr>
          <w:rFonts w:cstheme="minorHAnsi"/>
          <w:szCs w:val="20"/>
        </w:rPr>
        <w:t>, …) pour les effets sur la dispersion.</w:t>
      </w:r>
    </w:p>
    <w:p w14:paraId="10650F5D" w14:textId="77777777" w:rsidR="00D435FE" w:rsidRDefault="005936AB">
      <w:pPr>
        <w:pStyle w:val="Lgende"/>
        <w:keepNext/>
        <w:rPr>
          <w:rFonts w:eastAsia="Calibri" w:cs="Arial"/>
        </w:rPr>
      </w:pPr>
      <w:bookmarkStart w:id="6" w:name="_Ref482724047"/>
      <w:bookmarkStart w:id="7" w:name="_Toc492913258"/>
      <w:r>
        <w:t>Tableau</w:t>
      </w:r>
      <w:bookmarkEnd w:id="6"/>
      <w:r>
        <w:t xml:space="preserve"> 2 : </w:t>
      </w:r>
      <w:r>
        <w:rPr>
          <w:rFonts w:eastAsia="Calibri" w:cs="Arial"/>
        </w:rPr>
        <w:t>Exemple d’un ensemble de référence et des variables explicatives testées</w:t>
      </w:r>
      <w:bookmarkEnd w:id="7"/>
    </w:p>
    <w:tbl>
      <w:tblPr>
        <w:tblW w:w="84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5"/>
        <w:gridCol w:w="1673"/>
        <w:gridCol w:w="1676"/>
        <w:gridCol w:w="1685"/>
        <w:gridCol w:w="1685"/>
      </w:tblGrid>
      <w:tr w:rsidR="00D435FE" w14:paraId="6929AA0B" w14:textId="77777777" w:rsidTr="001D50FA">
        <w:trPr>
          <w:trHeight w:val="400"/>
          <w:jc w:val="center"/>
        </w:trPr>
        <w:tc>
          <w:tcPr>
            <w:tcW w:w="33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B2360" w14:textId="77777777" w:rsidR="00D435FE" w:rsidRDefault="00D435FE" w:rsidP="00F55230">
            <w:pPr>
              <w:spacing w:after="0"/>
              <w:jc w:val="center"/>
              <w:rPr>
                <w:rFonts w:cs="Arial"/>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658E362" w14:textId="77777777" w:rsidR="00D435FE" w:rsidRDefault="005936AB" w:rsidP="00F55230">
            <w:pPr>
              <w:spacing w:after="0"/>
              <w:jc w:val="center"/>
              <w:rPr>
                <w:rFonts w:cs="Arial"/>
                <w:b/>
                <w:szCs w:val="20"/>
              </w:rPr>
            </w:pPr>
            <w:r>
              <w:rPr>
                <w:rFonts w:cs="Arial"/>
                <w:b/>
                <w:szCs w:val="20"/>
              </w:rPr>
              <w:t>Ensemble de référence</w:t>
            </w:r>
          </w:p>
        </w:tc>
        <w:tc>
          <w:tcPr>
            <w:tcW w:w="1685"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B17E158" w14:textId="77777777" w:rsidR="00D435FE" w:rsidRDefault="005936AB" w:rsidP="00F55230">
            <w:pPr>
              <w:spacing w:after="0"/>
              <w:jc w:val="center"/>
              <w:rPr>
                <w:rFonts w:cs="Arial"/>
                <w:b/>
                <w:szCs w:val="20"/>
              </w:rPr>
            </w:pPr>
            <w:r>
              <w:rPr>
                <w:rFonts w:cs="Arial"/>
                <w:b/>
                <w:szCs w:val="20"/>
              </w:rPr>
              <w:t>Variables explicatives</w:t>
            </w:r>
          </w:p>
        </w:tc>
        <w:tc>
          <w:tcPr>
            <w:tcW w:w="1685"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E2CD665" w14:textId="77777777" w:rsidR="00D435FE" w:rsidRDefault="005936AB" w:rsidP="00F55230">
            <w:pPr>
              <w:spacing w:after="0"/>
              <w:jc w:val="center"/>
              <w:rPr>
                <w:rFonts w:cs="Arial"/>
                <w:b/>
                <w:szCs w:val="20"/>
              </w:rPr>
            </w:pPr>
            <w:r>
              <w:rPr>
                <w:rFonts w:cs="Arial"/>
                <w:b/>
                <w:szCs w:val="20"/>
              </w:rPr>
              <w:t>Coefficients associés</w:t>
            </w:r>
          </w:p>
        </w:tc>
      </w:tr>
      <w:tr w:rsidR="00D435FE" w14:paraId="5E93EDBF" w14:textId="77777777" w:rsidTr="001D50FA">
        <w:trPr>
          <w:trHeight w:val="400"/>
          <w:jc w:val="center"/>
        </w:trPr>
        <w:tc>
          <w:tcPr>
            <w:tcW w:w="1685"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E6D6187" w14:textId="77777777" w:rsidR="00D435FE" w:rsidRDefault="005936AB" w:rsidP="00F55230">
            <w:pPr>
              <w:spacing w:after="0"/>
              <w:jc w:val="center"/>
              <w:rPr>
                <w:szCs w:val="20"/>
              </w:rPr>
            </w:pPr>
            <w:r>
              <w:rPr>
                <w:rFonts w:cs="Arial"/>
                <w:szCs w:val="20"/>
              </w:rPr>
              <w:t>Prélèvement</w:t>
            </w:r>
          </w:p>
        </w:tc>
        <w:tc>
          <w:tcPr>
            <w:tcW w:w="1672" w:type="dxa"/>
            <w:tcBorders>
              <w:top w:val="single" w:sz="4" w:space="0" w:color="000000"/>
              <w:left w:val="single" w:sz="4" w:space="0" w:color="000000"/>
              <w:right w:val="single" w:sz="4" w:space="0" w:color="000000"/>
            </w:tcBorders>
            <w:shd w:val="clear" w:color="auto" w:fill="F2F2F2" w:themeFill="background1" w:themeFillShade="F2"/>
            <w:vAlign w:val="center"/>
          </w:tcPr>
          <w:p w14:paraId="454369B6" w14:textId="77777777" w:rsidR="00D435FE" w:rsidRDefault="005936AB" w:rsidP="00F55230">
            <w:pPr>
              <w:spacing w:after="0"/>
              <w:jc w:val="center"/>
              <w:rPr>
                <w:rFonts w:cs="Arial"/>
                <w:szCs w:val="20"/>
              </w:rPr>
            </w:pPr>
            <w:r>
              <w:rPr>
                <w:rFonts w:cs="Arial"/>
                <w:szCs w:val="20"/>
              </w:rPr>
              <w:t>Bilan 24h</w:t>
            </w:r>
          </w:p>
        </w:tc>
        <w:tc>
          <w:tcPr>
            <w:tcW w:w="1676" w:type="dxa"/>
            <w:tcBorders>
              <w:top w:val="single" w:sz="4" w:space="0" w:color="000000"/>
              <w:left w:val="single" w:sz="4" w:space="0" w:color="000000"/>
              <w:right w:val="single" w:sz="4" w:space="0" w:color="000000"/>
            </w:tcBorders>
            <w:shd w:val="clear" w:color="auto" w:fill="auto"/>
            <w:vAlign w:val="center"/>
          </w:tcPr>
          <w:p w14:paraId="463B33B9" w14:textId="77777777" w:rsidR="00D435FE" w:rsidRDefault="00D435FE" w:rsidP="00F55230">
            <w:pPr>
              <w:spacing w:after="0"/>
              <w:jc w:val="center"/>
              <w:rPr>
                <w:rFonts w:cs="Arial"/>
                <w:szCs w:val="20"/>
              </w:rPr>
            </w:pPr>
          </w:p>
        </w:tc>
        <w:tc>
          <w:tcPr>
            <w:tcW w:w="1685" w:type="dxa"/>
            <w:tcBorders>
              <w:top w:val="single" w:sz="4" w:space="0" w:color="000000"/>
              <w:left w:val="single" w:sz="4" w:space="0" w:color="000000"/>
              <w:right w:val="single" w:sz="4" w:space="0" w:color="000000"/>
            </w:tcBorders>
            <w:shd w:val="clear" w:color="auto" w:fill="auto"/>
            <w:vAlign w:val="center"/>
          </w:tcPr>
          <w:p w14:paraId="683C1A6B" w14:textId="77777777" w:rsidR="00D435FE" w:rsidRDefault="005936AB" w:rsidP="00F55230">
            <w:pPr>
              <w:spacing w:after="0"/>
              <w:jc w:val="center"/>
              <w:rPr>
                <w:rFonts w:cs="Arial"/>
                <w:szCs w:val="20"/>
              </w:rPr>
            </w:pPr>
            <w:r>
              <w:rPr>
                <w:rFonts w:cs="Arial"/>
                <w:szCs w:val="20"/>
              </w:rPr>
              <w:t>X</w:t>
            </w:r>
            <w:r>
              <w:rPr>
                <w:rFonts w:cs="Arial"/>
                <w:szCs w:val="20"/>
                <w:vertAlign w:val="subscript"/>
              </w:rPr>
              <w:t>1</w:t>
            </w:r>
          </w:p>
        </w:tc>
        <w:tc>
          <w:tcPr>
            <w:tcW w:w="1685" w:type="dxa"/>
            <w:tcBorders>
              <w:top w:val="single" w:sz="4" w:space="0" w:color="000000"/>
              <w:left w:val="single" w:sz="4" w:space="0" w:color="000000"/>
              <w:right w:val="single" w:sz="4" w:space="0" w:color="000000"/>
            </w:tcBorders>
            <w:shd w:val="clear" w:color="auto" w:fill="auto"/>
            <w:vAlign w:val="center"/>
          </w:tcPr>
          <w:p w14:paraId="64CE6F62" w14:textId="77777777" w:rsidR="00D435FE" w:rsidRDefault="005936AB" w:rsidP="00F55230">
            <w:pPr>
              <w:spacing w:after="0"/>
              <w:jc w:val="center"/>
              <w:rPr>
                <w:rFonts w:cs="Arial"/>
                <w:szCs w:val="20"/>
              </w:rPr>
            </w:pPr>
            <w:r>
              <w:rPr>
                <w:rFonts w:cs="Arial"/>
                <w:szCs w:val="20"/>
              </w:rPr>
              <w:t>β</w:t>
            </w:r>
            <w:r>
              <w:rPr>
                <w:rFonts w:cs="Arial"/>
                <w:szCs w:val="20"/>
                <w:vertAlign w:val="subscript"/>
              </w:rPr>
              <w:t>1</w:t>
            </w:r>
          </w:p>
        </w:tc>
      </w:tr>
      <w:tr w:rsidR="00D435FE" w14:paraId="1C142CDA" w14:textId="77777777" w:rsidTr="001D50FA">
        <w:trPr>
          <w:trHeight w:val="400"/>
          <w:jc w:val="center"/>
        </w:trPr>
        <w:tc>
          <w:tcPr>
            <w:tcW w:w="1685"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C14AED9" w14:textId="77777777" w:rsidR="00D435FE" w:rsidRDefault="00D435FE" w:rsidP="00F55230">
            <w:pPr>
              <w:spacing w:after="0"/>
              <w:jc w:val="center"/>
              <w:rPr>
                <w:rFonts w:cs="Arial"/>
                <w:szCs w:val="20"/>
              </w:rPr>
            </w:pPr>
          </w:p>
        </w:tc>
        <w:tc>
          <w:tcPr>
            <w:tcW w:w="1672" w:type="dxa"/>
            <w:tcBorders>
              <w:left w:val="single" w:sz="4" w:space="0" w:color="000000"/>
              <w:bottom w:val="single" w:sz="4" w:space="0" w:color="000000"/>
              <w:right w:val="single" w:sz="4" w:space="0" w:color="000000"/>
            </w:tcBorders>
            <w:shd w:val="clear" w:color="auto" w:fill="F2F2F2" w:themeFill="background1" w:themeFillShade="F2"/>
            <w:vAlign w:val="center"/>
          </w:tcPr>
          <w:p w14:paraId="70849B56" w14:textId="77777777" w:rsidR="00D435FE" w:rsidRDefault="005936AB" w:rsidP="00F55230">
            <w:pPr>
              <w:spacing w:after="0"/>
              <w:jc w:val="center"/>
              <w:rPr>
                <w:rFonts w:cs="Arial"/>
                <w:szCs w:val="20"/>
              </w:rPr>
            </w:pPr>
            <w:r>
              <w:rPr>
                <w:rFonts w:cs="Arial"/>
                <w:szCs w:val="20"/>
              </w:rPr>
              <w:t>Ponctuel</w:t>
            </w:r>
          </w:p>
        </w:tc>
        <w:tc>
          <w:tcPr>
            <w:tcW w:w="1676" w:type="dxa"/>
            <w:tcBorders>
              <w:left w:val="single" w:sz="4" w:space="0" w:color="000000"/>
              <w:bottom w:val="single" w:sz="4" w:space="0" w:color="000000"/>
              <w:right w:val="single" w:sz="4" w:space="0" w:color="000000"/>
            </w:tcBorders>
            <w:shd w:val="clear" w:color="auto" w:fill="auto"/>
            <w:vAlign w:val="center"/>
          </w:tcPr>
          <w:p w14:paraId="2A4830A6" w14:textId="77777777" w:rsidR="00D435FE" w:rsidRDefault="005936AB" w:rsidP="00F55230">
            <w:pPr>
              <w:spacing w:after="0"/>
              <w:jc w:val="center"/>
              <w:rPr>
                <w:rFonts w:cs="Arial"/>
                <w:szCs w:val="20"/>
              </w:rPr>
            </w:pPr>
            <w:r>
              <w:rPr>
                <w:rFonts w:cs="Arial"/>
                <w:szCs w:val="20"/>
              </w:rPr>
              <w:t>Oui</w:t>
            </w:r>
          </w:p>
        </w:tc>
        <w:tc>
          <w:tcPr>
            <w:tcW w:w="1685" w:type="dxa"/>
            <w:tcBorders>
              <w:left w:val="single" w:sz="4" w:space="0" w:color="000000"/>
              <w:bottom w:val="single" w:sz="4" w:space="0" w:color="000000"/>
              <w:right w:val="single" w:sz="4" w:space="0" w:color="000000"/>
            </w:tcBorders>
            <w:shd w:val="clear" w:color="auto" w:fill="auto"/>
            <w:vAlign w:val="center"/>
          </w:tcPr>
          <w:p w14:paraId="2E7F1444" w14:textId="77777777" w:rsidR="00D435FE" w:rsidRDefault="00D435FE" w:rsidP="00F55230">
            <w:pPr>
              <w:spacing w:after="0"/>
              <w:jc w:val="center"/>
              <w:rPr>
                <w:rFonts w:cs="Arial"/>
                <w:szCs w:val="20"/>
              </w:rPr>
            </w:pPr>
          </w:p>
        </w:tc>
        <w:tc>
          <w:tcPr>
            <w:tcW w:w="1685" w:type="dxa"/>
            <w:tcBorders>
              <w:left w:val="single" w:sz="4" w:space="0" w:color="000000"/>
              <w:bottom w:val="single" w:sz="4" w:space="0" w:color="000000"/>
              <w:right w:val="single" w:sz="4" w:space="0" w:color="000000"/>
            </w:tcBorders>
            <w:shd w:val="clear" w:color="auto" w:fill="auto"/>
            <w:vAlign w:val="center"/>
          </w:tcPr>
          <w:p w14:paraId="5C3944E0" w14:textId="77777777" w:rsidR="00D435FE" w:rsidRDefault="00D435FE" w:rsidP="00F55230">
            <w:pPr>
              <w:spacing w:after="0"/>
              <w:jc w:val="center"/>
              <w:rPr>
                <w:rFonts w:cs="Arial"/>
                <w:szCs w:val="20"/>
              </w:rPr>
            </w:pPr>
          </w:p>
        </w:tc>
      </w:tr>
      <w:tr w:rsidR="00D435FE" w14:paraId="2C073483" w14:textId="77777777" w:rsidTr="001D50FA">
        <w:trPr>
          <w:trHeight w:val="400"/>
          <w:jc w:val="center"/>
        </w:trPr>
        <w:tc>
          <w:tcPr>
            <w:tcW w:w="1685"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097B1D" w14:textId="77777777" w:rsidR="00D435FE" w:rsidRDefault="005936AB" w:rsidP="00F55230">
            <w:pPr>
              <w:spacing w:after="0"/>
              <w:jc w:val="center"/>
              <w:rPr>
                <w:rFonts w:cs="Arial"/>
                <w:szCs w:val="20"/>
              </w:rPr>
            </w:pPr>
            <w:r>
              <w:rPr>
                <w:rFonts w:cs="Arial"/>
                <w:szCs w:val="20"/>
              </w:rPr>
              <w:t>Famille</w:t>
            </w:r>
          </w:p>
        </w:tc>
        <w:tc>
          <w:tcPr>
            <w:tcW w:w="1672" w:type="dxa"/>
            <w:tcBorders>
              <w:top w:val="single" w:sz="4" w:space="0" w:color="000000"/>
              <w:left w:val="single" w:sz="4" w:space="0" w:color="000000"/>
              <w:right w:val="single" w:sz="4" w:space="0" w:color="000000"/>
            </w:tcBorders>
            <w:shd w:val="clear" w:color="auto" w:fill="F2F2F2" w:themeFill="background1" w:themeFillShade="F2"/>
            <w:vAlign w:val="center"/>
          </w:tcPr>
          <w:p w14:paraId="7FC4F228" w14:textId="77777777" w:rsidR="00D435FE" w:rsidRDefault="005936AB" w:rsidP="00F55230">
            <w:pPr>
              <w:spacing w:after="0"/>
              <w:jc w:val="center"/>
              <w:rPr>
                <w:rFonts w:cs="Arial"/>
                <w:szCs w:val="20"/>
              </w:rPr>
            </w:pPr>
            <w:r>
              <w:rPr>
                <w:rFonts w:cs="Arial"/>
                <w:szCs w:val="20"/>
              </w:rPr>
              <w:t>A</w:t>
            </w:r>
          </w:p>
        </w:tc>
        <w:tc>
          <w:tcPr>
            <w:tcW w:w="1676" w:type="dxa"/>
            <w:tcBorders>
              <w:top w:val="single" w:sz="4" w:space="0" w:color="000000"/>
              <w:left w:val="single" w:sz="4" w:space="0" w:color="000000"/>
              <w:right w:val="single" w:sz="4" w:space="0" w:color="000000"/>
            </w:tcBorders>
            <w:shd w:val="clear" w:color="auto" w:fill="auto"/>
            <w:vAlign w:val="center"/>
          </w:tcPr>
          <w:p w14:paraId="418AD494" w14:textId="77777777" w:rsidR="00D435FE" w:rsidRDefault="005936AB" w:rsidP="00F55230">
            <w:pPr>
              <w:spacing w:after="0"/>
              <w:jc w:val="center"/>
              <w:rPr>
                <w:rFonts w:cs="Arial"/>
                <w:szCs w:val="20"/>
              </w:rPr>
            </w:pPr>
            <w:r>
              <w:rPr>
                <w:rFonts w:cs="Arial"/>
                <w:szCs w:val="20"/>
              </w:rPr>
              <w:t>Oui</w:t>
            </w:r>
          </w:p>
        </w:tc>
        <w:tc>
          <w:tcPr>
            <w:tcW w:w="1685" w:type="dxa"/>
            <w:tcBorders>
              <w:top w:val="single" w:sz="4" w:space="0" w:color="000000"/>
              <w:left w:val="single" w:sz="4" w:space="0" w:color="000000"/>
              <w:right w:val="single" w:sz="4" w:space="0" w:color="000000"/>
            </w:tcBorders>
            <w:shd w:val="clear" w:color="auto" w:fill="auto"/>
            <w:vAlign w:val="center"/>
          </w:tcPr>
          <w:p w14:paraId="060A08E9" w14:textId="77777777" w:rsidR="00D435FE" w:rsidRDefault="00D435FE" w:rsidP="00F55230">
            <w:pPr>
              <w:spacing w:after="0"/>
              <w:jc w:val="center"/>
              <w:rPr>
                <w:rFonts w:cs="Arial"/>
                <w:szCs w:val="20"/>
              </w:rPr>
            </w:pPr>
          </w:p>
        </w:tc>
        <w:tc>
          <w:tcPr>
            <w:tcW w:w="1685" w:type="dxa"/>
            <w:tcBorders>
              <w:top w:val="single" w:sz="4" w:space="0" w:color="000000"/>
              <w:left w:val="single" w:sz="4" w:space="0" w:color="000000"/>
              <w:right w:val="single" w:sz="4" w:space="0" w:color="000000"/>
            </w:tcBorders>
            <w:shd w:val="clear" w:color="auto" w:fill="auto"/>
            <w:vAlign w:val="center"/>
          </w:tcPr>
          <w:p w14:paraId="4A048FA3" w14:textId="77777777" w:rsidR="00D435FE" w:rsidRDefault="00D435FE" w:rsidP="00F55230">
            <w:pPr>
              <w:spacing w:after="0"/>
              <w:jc w:val="center"/>
              <w:rPr>
                <w:rFonts w:cs="Arial"/>
                <w:szCs w:val="20"/>
              </w:rPr>
            </w:pPr>
          </w:p>
        </w:tc>
      </w:tr>
      <w:tr w:rsidR="00D435FE" w14:paraId="71865BF6" w14:textId="77777777" w:rsidTr="001D50FA">
        <w:trPr>
          <w:trHeight w:val="400"/>
          <w:jc w:val="center"/>
        </w:trPr>
        <w:tc>
          <w:tcPr>
            <w:tcW w:w="1685"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B764654" w14:textId="77777777" w:rsidR="00D435FE" w:rsidRDefault="00D435FE" w:rsidP="00F55230">
            <w:pPr>
              <w:spacing w:after="0"/>
              <w:jc w:val="center"/>
              <w:rPr>
                <w:rFonts w:cs="Arial"/>
                <w:szCs w:val="20"/>
              </w:rPr>
            </w:pPr>
          </w:p>
        </w:tc>
        <w:tc>
          <w:tcPr>
            <w:tcW w:w="1672" w:type="dxa"/>
            <w:tcBorders>
              <w:left w:val="single" w:sz="4" w:space="0" w:color="000000"/>
              <w:right w:val="single" w:sz="4" w:space="0" w:color="000000"/>
            </w:tcBorders>
            <w:shd w:val="clear" w:color="auto" w:fill="F2F2F2" w:themeFill="background1" w:themeFillShade="F2"/>
            <w:vAlign w:val="center"/>
          </w:tcPr>
          <w:p w14:paraId="7374DBF4" w14:textId="77777777" w:rsidR="00D435FE" w:rsidRDefault="005936AB" w:rsidP="00F55230">
            <w:pPr>
              <w:spacing w:after="0"/>
              <w:jc w:val="center"/>
              <w:rPr>
                <w:rFonts w:cs="Arial"/>
                <w:szCs w:val="20"/>
              </w:rPr>
            </w:pPr>
            <w:r>
              <w:rPr>
                <w:rFonts w:cs="Arial"/>
                <w:szCs w:val="20"/>
              </w:rPr>
              <w:t>B</w:t>
            </w:r>
          </w:p>
        </w:tc>
        <w:tc>
          <w:tcPr>
            <w:tcW w:w="1676" w:type="dxa"/>
            <w:tcBorders>
              <w:left w:val="single" w:sz="4" w:space="0" w:color="000000"/>
              <w:right w:val="single" w:sz="4" w:space="0" w:color="000000"/>
            </w:tcBorders>
            <w:shd w:val="clear" w:color="auto" w:fill="auto"/>
            <w:vAlign w:val="center"/>
          </w:tcPr>
          <w:p w14:paraId="65271EDE" w14:textId="77777777" w:rsidR="00D435FE" w:rsidRDefault="00D435FE" w:rsidP="00F55230">
            <w:pPr>
              <w:spacing w:after="0"/>
              <w:jc w:val="center"/>
              <w:rPr>
                <w:rFonts w:cs="Arial"/>
                <w:szCs w:val="20"/>
              </w:rPr>
            </w:pPr>
          </w:p>
        </w:tc>
        <w:tc>
          <w:tcPr>
            <w:tcW w:w="1685" w:type="dxa"/>
            <w:tcBorders>
              <w:left w:val="single" w:sz="4" w:space="0" w:color="000000"/>
              <w:right w:val="single" w:sz="4" w:space="0" w:color="000000"/>
            </w:tcBorders>
            <w:shd w:val="clear" w:color="auto" w:fill="auto"/>
            <w:vAlign w:val="center"/>
          </w:tcPr>
          <w:p w14:paraId="28D814F9" w14:textId="77777777" w:rsidR="00D435FE" w:rsidRDefault="005936AB" w:rsidP="00F55230">
            <w:pPr>
              <w:spacing w:after="0"/>
              <w:jc w:val="center"/>
              <w:rPr>
                <w:rFonts w:cs="Arial"/>
                <w:szCs w:val="20"/>
              </w:rPr>
            </w:pPr>
            <w:r>
              <w:rPr>
                <w:rFonts w:cs="Arial"/>
                <w:szCs w:val="20"/>
              </w:rPr>
              <w:t>X</w:t>
            </w:r>
            <w:r>
              <w:rPr>
                <w:rFonts w:cs="Arial"/>
                <w:szCs w:val="20"/>
                <w:vertAlign w:val="subscript"/>
              </w:rPr>
              <w:t>2</w:t>
            </w:r>
          </w:p>
        </w:tc>
        <w:tc>
          <w:tcPr>
            <w:tcW w:w="1685" w:type="dxa"/>
            <w:tcBorders>
              <w:left w:val="single" w:sz="4" w:space="0" w:color="000000"/>
              <w:right w:val="single" w:sz="4" w:space="0" w:color="000000"/>
            </w:tcBorders>
            <w:shd w:val="clear" w:color="auto" w:fill="auto"/>
            <w:vAlign w:val="center"/>
          </w:tcPr>
          <w:p w14:paraId="04A964A2" w14:textId="77777777" w:rsidR="00D435FE" w:rsidRDefault="005936AB" w:rsidP="00F55230">
            <w:pPr>
              <w:spacing w:after="0"/>
              <w:jc w:val="center"/>
              <w:rPr>
                <w:rFonts w:cs="Arial"/>
                <w:szCs w:val="20"/>
              </w:rPr>
            </w:pPr>
            <w:r>
              <w:rPr>
                <w:rFonts w:cs="Arial"/>
                <w:szCs w:val="20"/>
              </w:rPr>
              <w:t>β</w:t>
            </w:r>
            <w:r>
              <w:rPr>
                <w:rFonts w:cs="Arial"/>
                <w:szCs w:val="20"/>
                <w:vertAlign w:val="subscript"/>
              </w:rPr>
              <w:t>2</w:t>
            </w:r>
          </w:p>
        </w:tc>
      </w:tr>
      <w:tr w:rsidR="00D435FE" w14:paraId="03F98A90" w14:textId="77777777" w:rsidTr="001D50FA">
        <w:trPr>
          <w:trHeight w:val="400"/>
          <w:jc w:val="center"/>
        </w:trPr>
        <w:tc>
          <w:tcPr>
            <w:tcW w:w="1685"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A82E6A6" w14:textId="77777777" w:rsidR="00D435FE" w:rsidRDefault="00D435FE" w:rsidP="00F55230">
            <w:pPr>
              <w:spacing w:after="0"/>
              <w:jc w:val="center"/>
              <w:rPr>
                <w:rFonts w:cs="Arial"/>
                <w:szCs w:val="20"/>
              </w:rPr>
            </w:pPr>
          </w:p>
        </w:tc>
        <w:tc>
          <w:tcPr>
            <w:tcW w:w="1672" w:type="dxa"/>
            <w:tcBorders>
              <w:left w:val="single" w:sz="4" w:space="0" w:color="000000"/>
              <w:bottom w:val="single" w:sz="4" w:space="0" w:color="000000"/>
              <w:right w:val="single" w:sz="4" w:space="0" w:color="000000"/>
            </w:tcBorders>
            <w:shd w:val="clear" w:color="auto" w:fill="F2F2F2" w:themeFill="background1" w:themeFillShade="F2"/>
            <w:vAlign w:val="center"/>
          </w:tcPr>
          <w:p w14:paraId="1AD758EE" w14:textId="77777777" w:rsidR="00D435FE" w:rsidRDefault="005936AB" w:rsidP="00F55230">
            <w:pPr>
              <w:spacing w:after="0"/>
              <w:jc w:val="center"/>
              <w:rPr>
                <w:rFonts w:cs="Arial"/>
                <w:szCs w:val="20"/>
              </w:rPr>
            </w:pPr>
            <w:r>
              <w:rPr>
                <w:rFonts w:cs="Arial"/>
                <w:szCs w:val="20"/>
              </w:rPr>
              <w:t>C</w:t>
            </w:r>
          </w:p>
        </w:tc>
        <w:tc>
          <w:tcPr>
            <w:tcW w:w="1676" w:type="dxa"/>
            <w:tcBorders>
              <w:left w:val="single" w:sz="4" w:space="0" w:color="000000"/>
              <w:bottom w:val="single" w:sz="4" w:space="0" w:color="000000"/>
              <w:right w:val="single" w:sz="4" w:space="0" w:color="000000"/>
            </w:tcBorders>
            <w:shd w:val="clear" w:color="auto" w:fill="auto"/>
            <w:vAlign w:val="center"/>
          </w:tcPr>
          <w:p w14:paraId="527B6825" w14:textId="77777777" w:rsidR="00D435FE" w:rsidRDefault="00D435FE" w:rsidP="00F55230">
            <w:pPr>
              <w:spacing w:after="0"/>
              <w:jc w:val="center"/>
              <w:rPr>
                <w:rFonts w:cs="Arial"/>
                <w:szCs w:val="20"/>
              </w:rPr>
            </w:pPr>
          </w:p>
        </w:tc>
        <w:tc>
          <w:tcPr>
            <w:tcW w:w="1685" w:type="dxa"/>
            <w:tcBorders>
              <w:left w:val="single" w:sz="4" w:space="0" w:color="000000"/>
              <w:bottom w:val="single" w:sz="4" w:space="0" w:color="000000"/>
              <w:right w:val="single" w:sz="4" w:space="0" w:color="000000"/>
            </w:tcBorders>
            <w:shd w:val="clear" w:color="auto" w:fill="auto"/>
            <w:vAlign w:val="center"/>
          </w:tcPr>
          <w:p w14:paraId="63572A6E" w14:textId="77777777" w:rsidR="00D435FE" w:rsidRDefault="005936AB" w:rsidP="00F55230">
            <w:pPr>
              <w:spacing w:after="0"/>
              <w:jc w:val="center"/>
              <w:rPr>
                <w:rFonts w:cs="Arial"/>
                <w:szCs w:val="20"/>
              </w:rPr>
            </w:pPr>
            <w:r>
              <w:rPr>
                <w:rFonts w:cs="Arial"/>
                <w:szCs w:val="20"/>
              </w:rPr>
              <w:t>X</w:t>
            </w:r>
            <w:r>
              <w:rPr>
                <w:rFonts w:cs="Arial"/>
                <w:szCs w:val="20"/>
                <w:vertAlign w:val="subscript"/>
              </w:rPr>
              <w:t>3</w:t>
            </w:r>
          </w:p>
        </w:tc>
        <w:tc>
          <w:tcPr>
            <w:tcW w:w="1685" w:type="dxa"/>
            <w:tcBorders>
              <w:left w:val="single" w:sz="4" w:space="0" w:color="000000"/>
              <w:bottom w:val="single" w:sz="4" w:space="0" w:color="000000"/>
              <w:right w:val="single" w:sz="4" w:space="0" w:color="000000"/>
            </w:tcBorders>
            <w:shd w:val="clear" w:color="auto" w:fill="auto"/>
            <w:vAlign w:val="center"/>
          </w:tcPr>
          <w:p w14:paraId="2203B9BF" w14:textId="77777777" w:rsidR="00D435FE" w:rsidRDefault="005936AB" w:rsidP="00F55230">
            <w:pPr>
              <w:spacing w:after="0"/>
              <w:jc w:val="center"/>
              <w:rPr>
                <w:rFonts w:cs="Arial"/>
                <w:szCs w:val="20"/>
              </w:rPr>
            </w:pPr>
            <w:r>
              <w:rPr>
                <w:rFonts w:cs="Arial"/>
                <w:szCs w:val="20"/>
              </w:rPr>
              <w:t>β</w:t>
            </w:r>
            <w:r>
              <w:rPr>
                <w:rFonts w:cs="Arial"/>
                <w:szCs w:val="20"/>
                <w:vertAlign w:val="subscript"/>
              </w:rPr>
              <w:t>3</w:t>
            </w:r>
          </w:p>
        </w:tc>
      </w:tr>
      <w:tr w:rsidR="00D435FE" w14:paraId="4E50E263" w14:textId="77777777" w:rsidTr="001D50FA">
        <w:trPr>
          <w:trHeight w:val="400"/>
          <w:jc w:val="center"/>
        </w:trPr>
        <w:tc>
          <w:tcPr>
            <w:tcW w:w="1685"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745764E" w14:textId="77777777" w:rsidR="00D435FE" w:rsidRDefault="005936AB" w:rsidP="00F55230">
            <w:pPr>
              <w:spacing w:after="0"/>
              <w:jc w:val="center"/>
              <w:rPr>
                <w:rFonts w:cs="Arial"/>
                <w:szCs w:val="20"/>
              </w:rPr>
            </w:pPr>
            <w:r>
              <w:rPr>
                <w:rFonts w:cs="Arial"/>
                <w:szCs w:val="20"/>
              </w:rPr>
              <w:t>Age</w:t>
            </w:r>
          </w:p>
        </w:tc>
        <w:tc>
          <w:tcPr>
            <w:tcW w:w="1672" w:type="dxa"/>
            <w:tcBorders>
              <w:top w:val="single" w:sz="4" w:space="0" w:color="000000"/>
              <w:left w:val="single" w:sz="4" w:space="0" w:color="000000"/>
              <w:right w:val="single" w:sz="4" w:space="0" w:color="000000"/>
            </w:tcBorders>
            <w:shd w:val="clear" w:color="auto" w:fill="F2F2F2" w:themeFill="background1" w:themeFillShade="F2"/>
            <w:vAlign w:val="center"/>
          </w:tcPr>
          <w:p w14:paraId="5ED84675" w14:textId="77777777" w:rsidR="00D435FE" w:rsidRDefault="005936AB" w:rsidP="00F55230">
            <w:pPr>
              <w:spacing w:after="0"/>
              <w:jc w:val="center"/>
              <w:rPr>
                <w:rFonts w:eastAsia="Calibri"/>
              </w:rPr>
            </w:pPr>
            <w:r>
              <w:rPr>
                <w:rFonts w:eastAsia="Calibri"/>
              </w:rPr>
              <w:t>&lt; 2 ans</w:t>
            </w:r>
          </w:p>
        </w:tc>
        <w:tc>
          <w:tcPr>
            <w:tcW w:w="1676" w:type="dxa"/>
            <w:tcBorders>
              <w:top w:val="single" w:sz="4" w:space="0" w:color="000000"/>
              <w:left w:val="single" w:sz="4" w:space="0" w:color="000000"/>
              <w:right w:val="single" w:sz="4" w:space="0" w:color="000000"/>
            </w:tcBorders>
            <w:shd w:val="clear" w:color="auto" w:fill="auto"/>
            <w:vAlign w:val="center"/>
          </w:tcPr>
          <w:p w14:paraId="2A13D238" w14:textId="77777777" w:rsidR="00D435FE" w:rsidRDefault="00D435FE" w:rsidP="00F55230">
            <w:pPr>
              <w:spacing w:after="0"/>
              <w:jc w:val="center"/>
              <w:rPr>
                <w:rFonts w:cs="Arial"/>
                <w:szCs w:val="20"/>
              </w:rPr>
            </w:pPr>
          </w:p>
        </w:tc>
        <w:tc>
          <w:tcPr>
            <w:tcW w:w="1685" w:type="dxa"/>
            <w:tcBorders>
              <w:top w:val="single" w:sz="4" w:space="0" w:color="000000"/>
              <w:left w:val="single" w:sz="4" w:space="0" w:color="000000"/>
              <w:right w:val="single" w:sz="4" w:space="0" w:color="000000"/>
            </w:tcBorders>
            <w:shd w:val="clear" w:color="auto" w:fill="auto"/>
            <w:vAlign w:val="center"/>
          </w:tcPr>
          <w:p w14:paraId="55746E68" w14:textId="77777777" w:rsidR="00D435FE" w:rsidRDefault="005936AB" w:rsidP="00F55230">
            <w:pPr>
              <w:spacing w:after="0"/>
              <w:jc w:val="center"/>
              <w:rPr>
                <w:rFonts w:cs="Arial"/>
                <w:szCs w:val="20"/>
              </w:rPr>
            </w:pPr>
            <w:r>
              <w:rPr>
                <w:rFonts w:cs="Arial"/>
                <w:szCs w:val="20"/>
              </w:rPr>
              <w:t>X</w:t>
            </w:r>
            <w:r>
              <w:rPr>
                <w:rFonts w:cs="Arial"/>
                <w:szCs w:val="20"/>
                <w:vertAlign w:val="subscript"/>
              </w:rPr>
              <w:t>4</w:t>
            </w:r>
          </w:p>
        </w:tc>
        <w:tc>
          <w:tcPr>
            <w:tcW w:w="1685" w:type="dxa"/>
            <w:tcBorders>
              <w:top w:val="single" w:sz="4" w:space="0" w:color="000000"/>
              <w:left w:val="single" w:sz="4" w:space="0" w:color="000000"/>
              <w:right w:val="single" w:sz="4" w:space="0" w:color="000000"/>
            </w:tcBorders>
            <w:shd w:val="clear" w:color="auto" w:fill="auto"/>
            <w:vAlign w:val="center"/>
          </w:tcPr>
          <w:p w14:paraId="6EBC713B" w14:textId="77777777" w:rsidR="00D435FE" w:rsidRDefault="005936AB" w:rsidP="00F55230">
            <w:pPr>
              <w:spacing w:after="0"/>
              <w:jc w:val="center"/>
              <w:rPr>
                <w:rFonts w:cs="Arial"/>
                <w:szCs w:val="20"/>
              </w:rPr>
            </w:pPr>
            <w:r>
              <w:rPr>
                <w:rFonts w:cs="Arial"/>
                <w:szCs w:val="20"/>
              </w:rPr>
              <w:t>β</w:t>
            </w:r>
            <w:r>
              <w:rPr>
                <w:rFonts w:cs="Arial"/>
                <w:szCs w:val="20"/>
                <w:vertAlign w:val="subscript"/>
              </w:rPr>
              <w:t>4</w:t>
            </w:r>
          </w:p>
        </w:tc>
      </w:tr>
      <w:tr w:rsidR="00D435FE" w14:paraId="14248A70" w14:textId="77777777" w:rsidTr="001D50FA">
        <w:trPr>
          <w:trHeight w:val="400"/>
          <w:jc w:val="center"/>
        </w:trPr>
        <w:tc>
          <w:tcPr>
            <w:tcW w:w="1685"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09D6D8" w14:textId="77777777" w:rsidR="00D435FE" w:rsidRDefault="00D435FE" w:rsidP="00F55230">
            <w:pPr>
              <w:spacing w:after="0"/>
              <w:jc w:val="center"/>
              <w:rPr>
                <w:rFonts w:cs="Arial"/>
                <w:szCs w:val="20"/>
              </w:rPr>
            </w:pPr>
          </w:p>
        </w:tc>
        <w:tc>
          <w:tcPr>
            <w:tcW w:w="1672" w:type="dxa"/>
            <w:tcBorders>
              <w:left w:val="single" w:sz="4" w:space="0" w:color="000000"/>
              <w:right w:val="single" w:sz="4" w:space="0" w:color="000000"/>
            </w:tcBorders>
            <w:shd w:val="clear" w:color="auto" w:fill="F2F2F2" w:themeFill="background1" w:themeFillShade="F2"/>
            <w:vAlign w:val="center"/>
          </w:tcPr>
          <w:p w14:paraId="6483DF01" w14:textId="77777777" w:rsidR="00D435FE" w:rsidRDefault="005936AB" w:rsidP="00F55230">
            <w:pPr>
              <w:spacing w:after="0"/>
              <w:jc w:val="center"/>
              <w:rPr>
                <w:rFonts w:eastAsia="Calibri"/>
              </w:rPr>
            </w:pPr>
            <w:r>
              <w:rPr>
                <w:rFonts w:eastAsia="Calibri"/>
              </w:rPr>
              <w:t>2 ans – 4 ans</w:t>
            </w:r>
          </w:p>
        </w:tc>
        <w:tc>
          <w:tcPr>
            <w:tcW w:w="1676" w:type="dxa"/>
            <w:tcBorders>
              <w:left w:val="single" w:sz="4" w:space="0" w:color="000000"/>
              <w:right w:val="single" w:sz="4" w:space="0" w:color="000000"/>
            </w:tcBorders>
            <w:shd w:val="clear" w:color="auto" w:fill="auto"/>
            <w:vAlign w:val="center"/>
          </w:tcPr>
          <w:p w14:paraId="320F0E98" w14:textId="77777777" w:rsidR="00D435FE" w:rsidRDefault="00D435FE" w:rsidP="00F55230">
            <w:pPr>
              <w:spacing w:after="0"/>
              <w:jc w:val="center"/>
              <w:rPr>
                <w:rFonts w:cs="Arial"/>
                <w:szCs w:val="20"/>
              </w:rPr>
            </w:pPr>
          </w:p>
        </w:tc>
        <w:tc>
          <w:tcPr>
            <w:tcW w:w="1685" w:type="dxa"/>
            <w:tcBorders>
              <w:left w:val="single" w:sz="4" w:space="0" w:color="000000"/>
              <w:right w:val="single" w:sz="4" w:space="0" w:color="000000"/>
            </w:tcBorders>
            <w:shd w:val="clear" w:color="auto" w:fill="auto"/>
            <w:vAlign w:val="center"/>
          </w:tcPr>
          <w:p w14:paraId="06AF9FE9" w14:textId="77777777" w:rsidR="00D435FE" w:rsidRDefault="005936AB" w:rsidP="00F55230">
            <w:pPr>
              <w:spacing w:after="0"/>
              <w:jc w:val="center"/>
              <w:rPr>
                <w:rFonts w:cs="Arial"/>
                <w:szCs w:val="20"/>
              </w:rPr>
            </w:pPr>
            <w:r>
              <w:rPr>
                <w:rFonts w:cs="Arial"/>
                <w:szCs w:val="20"/>
              </w:rPr>
              <w:t>X</w:t>
            </w:r>
            <w:r>
              <w:rPr>
                <w:rFonts w:cs="Arial"/>
                <w:szCs w:val="20"/>
                <w:vertAlign w:val="subscript"/>
              </w:rPr>
              <w:t>5</w:t>
            </w:r>
          </w:p>
        </w:tc>
        <w:tc>
          <w:tcPr>
            <w:tcW w:w="1685" w:type="dxa"/>
            <w:tcBorders>
              <w:left w:val="single" w:sz="4" w:space="0" w:color="000000"/>
              <w:right w:val="single" w:sz="4" w:space="0" w:color="000000"/>
            </w:tcBorders>
            <w:shd w:val="clear" w:color="auto" w:fill="auto"/>
            <w:vAlign w:val="center"/>
          </w:tcPr>
          <w:p w14:paraId="1A965416" w14:textId="77777777" w:rsidR="00D435FE" w:rsidRDefault="005936AB" w:rsidP="00F55230">
            <w:pPr>
              <w:spacing w:after="0"/>
              <w:jc w:val="center"/>
              <w:rPr>
                <w:rFonts w:cs="Arial"/>
                <w:szCs w:val="20"/>
              </w:rPr>
            </w:pPr>
            <w:r>
              <w:rPr>
                <w:rFonts w:cs="Arial"/>
                <w:szCs w:val="20"/>
              </w:rPr>
              <w:t>β</w:t>
            </w:r>
            <w:r>
              <w:rPr>
                <w:rFonts w:cs="Arial"/>
                <w:szCs w:val="20"/>
                <w:vertAlign w:val="subscript"/>
              </w:rPr>
              <w:t>5</w:t>
            </w:r>
          </w:p>
        </w:tc>
      </w:tr>
      <w:tr w:rsidR="00D435FE" w14:paraId="72172D53" w14:textId="77777777" w:rsidTr="001D50FA">
        <w:trPr>
          <w:trHeight w:val="400"/>
          <w:jc w:val="center"/>
        </w:trPr>
        <w:tc>
          <w:tcPr>
            <w:tcW w:w="1685"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8DFB83D" w14:textId="77777777" w:rsidR="00D435FE" w:rsidRDefault="00D435FE" w:rsidP="00F55230">
            <w:pPr>
              <w:spacing w:after="0"/>
              <w:jc w:val="center"/>
              <w:rPr>
                <w:rFonts w:cs="Arial"/>
                <w:szCs w:val="20"/>
              </w:rPr>
            </w:pPr>
          </w:p>
        </w:tc>
        <w:tc>
          <w:tcPr>
            <w:tcW w:w="1672" w:type="dxa"/>
            <w:tcBorders>
              <w:left w:val="single" w:sz="4" w:space="0" w:color="000000"/>
              <w:bottom w:val="single" w:sz="4" w:space="0" w:color="000000"/>
              <w:right w:val="single" w:sz="4" w:space="0" w:color="000000"/>
            </w:tcBorders>
            <w:shd w:val="clear" w:color="auto" w:fill="F2F2F2" w:themeFill="background1" w:themeFillShade="F2"/>
            <w:vAlign w:val="center"/>
          </w:tcPr>
          <w:p w14:paraId="19ABD5ED" w14:textId="77777777" w:rsidR="00D435FE" w:rsidRDefault="005936AB" w:rsidP="00F55230">
            <w:pPr>
              <w:spacing w:after="0"/>
              <w:jc w:val="center"/>
              <w:rPr>
                <w:rFonts w:eastAsia="Calibri"/>
              </w:rPr>
            </w:pPr>
            <w:r>
              <w:rPr>
                <w:rFonts w:ascii="Lucida Console" w:hAnsi="Lucida Console"/>
              </w:rPr>
              <w:t xml:space="preserve">&gt; </w:t>
            </w:r>
            <w:r>
              <w:rPr>
                <w:rFonts w:eastAsia="Calibri"/>
              </w:rPr>
              <w:t>4 ans</w:t>
            </w:r>
          </w:p>
        </w:tc>
        <w:tc>
          <w:tcPr>
            <w:tcW w:w="1676" w:type="dxa"/>
            <w:tcBorders>
              <w:left w:val="single" w:sz="4" w:space="0" w:color="000000"/>
              <w:bottom w:val="single" w:sz="4" w:space="0" w:color="000000"/>
              <w:right w:val="single" w:sz="4" w:space="0" w:color="000000"/>
            </w:tcBorders>
            <w:shd w:val="clear" w:color="auto" w:fill="auto"/>
            <w:vAlign w:val="center"/>
          </w:tcPr>
          <w:p w14:paraId="703AAFCC" w14:textId="77777777" w:rsidR="00D435FE" w:rsidRDefault="005936AB" w:rsidP="00F55230">
            <w:pPr>
              <w:spacing w:after="0"/>
              <w:jc w:val="center"/>
              <w:rPr>
                <w:rFonts w:cs="Arial"/>
                <w:szCs w:val="20"/>
              </w:rPr>
            </w:pPr>
            <w:r>
              <w:rPr>
                <w:rFonts w:cs="Arial"/>
                <w:szCs w:val="20"/>
              </w:rPr>
              <w:t>Oui</w:t>
            </w:r>
          </w:p>
        </w:tc>
        <w:tc>
          <w:tcPr>
            <w:tcW w:w="1685" w:type="dxa"/>
            <w:tcBorders>
              <w:left w:val="single" w:sz="4" w:space="0" w:color="000000"/>
              <w:bottom w:val="single" w:sz="4" w:space="0" w:color="000000"/>
              <w:right w:val="single" w:sz="4" w:space="0" w:color="000000"/>
            </w:tcBorders>
            <w:shd w:val="clear" w:color="auto" w:fill="auto"/>
            <w:vAlign w:val="center"/>
          </w:tcPr>
          <w:p w14:paraId="167728FC" w14:textId="77777777" w:rsidR="00D435FE" w:rsidRDefault="00D435FE" w:rsidP="00F55230">
            <w:pPr>
              <w:spacing w:after="0"/>
              <w:jc w:val="center"/>
              <w:rPr>
                <w:rFonts w:cs="Arial"/>
                <w:szCs w:val="20"/>
              </w:rPr>
            </w:pPr>
          </w:p>
        </w:tc>
        <w:tc>
          <w:tcPr>
            <w:tcW w:w="1685" w:type="dxa"/>
            <w:tcBorders>
              <w:left w:val="single" w:sz="4" w:space="0" w:color="000000"/>
              <w:bottom w:val="single" w:sz="4" w:space="0" w:color="000000"/>
              <w:right w:val="single" w:sz="4" w:space="0" w:color="000000"/>
            </w:tcBorders>
            <w:shd w:val="clear" w:color="auto" w:fill="auto"/>
            <w:vAlign w:val="center"/>
          </w:tcPr>
          <w:p w14:paraId="746C1965" w14:textId="77777777" w:rsidR="00D435FE" w:rsidRDefault="00D435FE" w:rsidP="00F55230">
            <w:pPr>
              <w:spacing w:after="0"/>
              <w:jc w:val="center"/>
              <w:rPr>
                <w:rFonts w:cs="Arial"/>
                <w:szCs w:val="20"/>
              </w:rPr>
            </w:pPr>
          </w:p>
        </w:tc>
      </w:tr>
      <w:tr w:rsidR="00D435FE" w14:paraId="720CCF1A" w14:textId="77777777" w:rsidTr="001D50FA">
        <w:trPr>
          <w:trHeight w:val="400"/>
          <w:jc w:val="center"/>
        </w:trPr>
        <w:tc>
          <w:tcPr>
            <w:tcW w:w="1685"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E32D03F" w14:textId="77777777" w:rsidR="00D435FE" w:rsidRDefault="005936AB" w:rsidP="00F55230">
            <w:pPr>
              <w:spacing w:after="0"/>
              <w:jc w:val="center"/>
              <w:rPr>
                <w:rFonts w:cs="Arial"/>
                <w:szCs w:val="20"/>
              </w:rPr>
            </w:pPr>
            <w:r>
              <w:rPr>
                <w:rFonts w:cs="Arial"/>
                <w:szCs w:val="20"/>
              </w:rPr>
              <w:t>Charge</w:t>
            </w:r>
          </w:p>
        </w:tc>
        <w:tc>
          <w:tcPr>
            <w:tcW w:w="1672" w:type="dxa"/>
            <w:tcBorders>
              <w:top w:val="single" w:sz="4" w:space="0" w:color="000000"/>
              <w:left w:val="single" w:sz="4" w:space="0" w:color="000000"/>
              <w:right w:val="single" w:sz="4" w:space="0" w:color="000000"/>
            </w:tcBorders>
            <w:shd w:val="clear" w:color="auto" w:fill="F2F2F2" w:themeFill="background1" w:themeFillShade="F2"/>
            <w:vAlign w:val="center"/>
          </w:tcPr>
          <w:p w14:paraId="7E6BEDE7" w14:textId="77777777" w:rsidR="00D435FE" w:rsidRDefault="005936AB" w:rsidP="00F55230">
            <w:pPr>
              <w:spacing w:after="0"/>
              <w:jc w:val="center"/>
              <w:rPr>
                <w:rFonts w:cs="Arial"/>
              </w:rPr>
            </w:pPr>
            <w:r>
              <w:rPr>
                <w:rFonts w:cs="Arial"/>
              </w:rPr>
              <w:t>&lt; 30 %</w:t>
            </w:r>
          </w:p>
        </w:tc>
        <w:tc>
          <w:tcPr>
            <w:tcW w:w="1676" w:type="dxa"/>
            <w:tcBorders>
              <w:top w:val="single" w:sz="4" w:space="0" w:color="000000"/>
              <w:left w:val="single" w:sz="4" w:space="0" w:color="000000"/>
              <w:right w:val="single" w:sz="4" w:space="0" w:color="000000"/>
            </w:tcBorders>
            <w:shd w:val="clear" w:color="auto" w:fill="auto"/>
            <w:vAlign w:val="center"/>
          </w:tcPr>
          <w:p w14:paraId="0D92C237" w14:textId="77777777" w:rsidR="00D435FE" w:rsidRDefault="005936AB" w:rsidP="00F55230">
            <w:pPr>
              <w:spacing w:after="0"/>
              <w:jc w:val="center"/>
              <w:rPr>
                <w:rFonts w:cs="Arial"/>
                <w:szCs w:val="20"/>
              </w:rPr>
            </w:pPr>
            <w:r>
              <w:rPr>
                <w:rFonts w:cs="Arial"/>
                <w:szCs w:val="20"/>
              </w:rPr>
              <w:t>Oui</w:t>
            </w:r>
          </w:p>
        </w:tc>
        <w:tc>
          <w:tcPr>
            <w:tcW w:w="1685" w:type="dxa"/>
            <w:tcBorders>
              <w:top w:val="single" w:sz="4" w:space="0" w:color="000000"/>
              <w:left w:val="single" w:sz="4" w:space="0" w:color="000000"/>
              <w:right w:val="single" w:sz="4" w:space="0" w:color="000000"/>
            </w:tcBorders>
            <w:shd w:val="clear" w:color="auto" w:fill="auto"/>
            <w:vAlign w:val="center"/>
          </w:tcPr>
          <w:p w14:paraId="52315EDE" w14:textId="77777777" w:rsidR="00D435FE" w:rsidRDefault="00D435FE" w:rsidP="00F55230">
            <w:pPr>
              <w:spacing w:after="0"/>
              <w:jc w:val="center"/>
              <w:rPr>
                <w:rFonts w:cs="Arial"/>
                <w:szCs w:val="20"/>
              </w:rPr>
            </w:pPr>
          </w:p>
        </w:tc>
        <w:tc>
          <w:tcPr>
            <w:tcW w:w="1685" w:type="dxa"/>
            <w:tcBorders>
              <w:top w:val="single" w:sz="4" w:space="0" w:color="000000"/>
              <w:left w:val="single" w:sz="4" w:space="0" w:color="000000"/>
              <w:right w:val="single" w:sz="4" w:space="0" w:color="000000"/>
            </w:tcBorders>
            <w:shd w:val="clear" w:color="auto" w:fill="auto"/>
            <w:vAlign w:val="center"/>
          </w:tcPr>
          <w:p w14:paraId="4B114EE7" w14:textId="77777777" w:rsidR="00D435FE" w:rsidRDefault="00D435FE" w:rsidP="00F55230">
            <w:pPr>
              <w:spacing w:after="0"/>
              <w:jc w:val="center"/>
              <w:rPr>
                <w:rFonts w:cs="Arial"/>
                <w:szCs w:val="20"/>
              </w:rPr>
            </w:pPr>
          </w:p>
        </w:tc>
      </w:tr>
      <w:tr w:rsidR="00D435FE" w14:paraId="5ED252EA" w14:textId="77777777" w:rsidTr="001D50FA">
        <w:trPr>
          <w:trHeight w:val="400"/>
          <w:jc w:val="center"/>
        </w:trPr>
        <w:tc>
          <w:tcPr>
            <w:tcW w:w="1685"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0721AD1" w14:textId="77777777" w:rsidR="00D435FE" w:rsidRDefault="00D435FE" w:rsidP="00F55230">
            <w:pPr>
              <w:spacing w:after="0"/>
              <w:jc w:val="center"/>
              <w:rPr>
                <w:rFonts w:cs="Arial"/>
                <w:szCs w:val="20"/>
              </w:rPr>
            </w:pPr>
          </w:p>
        </w:tc>
        <w:tc>
          <w:tcPr>
            <w:tcW w:w="1672" w:type="dxa"/>
            <w:tcBorders>
              <w:left w:val="single" w:sz="4" w:space="0" w:color="000000"/>
              <w:right w:val="single" w:sz="4" w:space="0" w:color="000000"/>
            </w:tcBorders>
            <w:shd w:val="clear" w:color="auto" w:fill="F2F2F2" w:themeFill="background1" w:themeFillShade="F2"/>
            <w:vAlign w:val="center"/>
          </w:tcPr>
          <w:p w14:paraId="647BC639" w14:textId="77777777" w:rsidR="00D435FE" w:rsidRDefault="005936AB" w:rsidP="00F55230">
            <w:pPr>
              <w:spacing w:after="0"/>
              <w:jc w:val="center"/>
              <w:rPr>
                <w:rFonts w:cs="Arial"/>
              </w:rPr>
            </w:pPr>
            <w:r>
              <w:rPr>
                <w:rFonts w:cs="Arial"/>
              </w:rPr>
              <w:t xml:space="preserve">30 % </w:t>
            </w:r>
            <w:r>
              <w:rPr>
                <w:rFonts w:eastAsia="Calibri"/>
              </w:rPr>
              <w:t>–</w:t>
            </w:r>
            <w:r>
              <w:rPr>
                <w:rFonts w:cs="Arial"/>
              </w:rPr>
              <w:t xml:space="preserve"> 70 %</w:t>
            </w:r>
          </w:p>
        </w:tc>
        <w:tc>
          <w:tcPr>
            <w:tcW w:w="1676" w:type="dxa"/>
            <w:tcBorders>
              <w:left w:val="single" w:sz="4" w:space="0" w:color="000000"/>
              <w:right w:val="single" w:sz="4" w:space="0" w:color="000000"/>
            </w:tcBorders>
            <w:shd w:val="clear" w:color="auto" w:fill="auto"/>
            <w:vAlign w:val="center"/>
          </w:tcPr>
          <w:p w14:paraId="7B70741C" w14:textId="77777777" w:rsidR="00D435FE" w:rsidRDefault="00D435FE" w:rsidP="00F55230">
            <w:pPr>
              <w:spacing w:after="0"/>
              <w:jc w:val="center"/>
              <w:rPr>
                <w:rFonts w:cs="Arial"/>
                <w:szCs w:val="20"/>
              </w:rPr>
            </w:pPr>
          </w:p>
        </w:tc>
        <w:tc>
          <w:tcPr>
            <w:tcW w:w="1685" w:type="dxa"/>
            <w:tcBorders>
              <w:left w:val="single" w:sz="4" w:space="0" w:color="000000"/>
              <w:right w:val="single" w:sz="4" w:space="0" w:color="000000"/>
            </w:tcBorders>
            <w:shd w:val="clear" w:color="auto" w:fill="auto"/>
            <w:vAlign w:val="center"/>
          </w:tcPr>
          <w:p w14:paraId="24235C98" w14:textId="77777777" w:rsidR="00D435FE" w:rsidRDefault="005936AB" w:rsidP="00F55230">
            <w:pPr>
              <w:spacing w:after="0"/>
              <w:jc w:val="center"/>
              <w:rPr>
                <w:rFonts w:cs="Arial"/>
                <w:szCs w:val="20"/>
              </w:rPr>
            </w:pPr>
            <w:r>
              <w:rPr>
                <w:rFonts w:cs="Arial"/>
                <w:szCs w:val="20"/>
              </w:rPr>
              <w:t>X</w:t>
            </w:r>
            <w:r>
              <w:rPr>
                <w:rFonts w:cs="Arial"/>
                <w:szCs w:val="20"/>
                <w:vertAlign w:val="subscript"/>
              </w:rPr>
              <w:t>6</w:t>
            </w:r>
          </w:p>
        </w:tc>
        <w:tc>
          <w:tcPr>
            <w:tcW w:w="1685" w:type="dxa"/>
            <w:tcBorders>
              <w:left w:val="single" w:sz="4" w:space="0" w:color="000000"/>
              <w:right w:val="single" w:sz="4" w:space="0" w:color="000000"/>
            </w:tcBorders>
            <w:shd w:val="clear" w:color="auto" w:fill="auto"/>
            <w:vAlign w:val="center"/>
          </w:tcPr>
          <w:p w14:paraId="7BA407F6" w14:textId="77777777" w:rsidR="00D435FE" w:rsidRDefault="005936AB" w:rsidP="00F55230">
            <w:pPr>
              <w:spacing w:after="0"/>
              <w:jc w:val="center"/>
              <w:rPr>
                <w:rFonts w:cs="Arial"/>
                <w:szCs w:val="20"/>
              </w:rPr>
            </w:pPr>
            <w:r>
              <w:rPr>
                <w:rFonts w:cs="Arial"/>
                <w:szCs w:val="20"/>
              </w:rPr>
              <w:t>β</w:t>
            </w:r>
            <w:r>
              <w:rPr>
                <w:rFonts w:cs="Arial"/>
                <w:szCs w:val="20"/>
                <w:vertAlign w:val="subscript"/>
              </w:rPr>
              <w:t>6</w:t>
            </w:r>
          </w:p>
        </w:tc>
      </w:tr>
      <w:tr w:rsidR="00D435FE" w14:paraId="3101EFFA" w14:textId="77777777" w:rsidTr="001D50FA">
        <w:trPr>
          <w:trHeight w:val="400"/>
          <w:jc w:val="center"/>
        </w:trPr>
        <w:tc>
          <w:tcPr>
            <w:tcW w:w="1685"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5C3C03C" w14:textId="77777777" w:rsidR="00D435FE" w:rsidRDefault="00D435FE" w:rsidP="00F55230">
            <w:pPr>
              <w:spacing w:after="0"/>
              <w:jc w:val="center"/>
              <w:rPr>
                <w:rFonts w:cs="Arial"/>
                <w:szCs w:val="20"/>
              </w:rPr>
            </w:pPr>
          </w:p>
        </w:tc>
        <w:tc>
          <w:tcPr>
            <w:tcW w:w="1672" w:type="dxa"/>
            <w:tcBorders>
              <w:left w:val="single" w:sz="4" w:space="0" w:color="000000"/>
              <w:bottom w:val="single" w:sz="4" w:space="0" w:color="000000"/>
              <w:right w:val="single" w:sz="4" w:space="0" w:color="000000"/>
            </w:tcBorders>
            <w:shd w:val="clear" w:color="auto" w:fill="F2F2F2" w:themeFill="background1" w:themeFillShade="F2"/>
            <w:vAlign w:val="center"/>
          </w:tcPr>
          <w:p w14:paraId="01B2A6DA" w14:textId="77777777" w:rsidR="00D435FE" w:rsidRDefault="005936AB" w:rsidP="00F55230">
            <w:pPr>
              <w:spacing w:after="0"/>
              <w:jc w:val="center"/>
              <w:rPr>
                <w:rFonts w:cs="Arial"/>
              </w:rPr>
            </w:pPr>
            <w:r>
              <w:rPr>
                <w:rFonts w:ascii="Lucida Console" w:hAnsi="Lucida Console"/>
              </w:rPr>
              <w:t xml:space="preserve">&gt; </w:t>
            </w:r>
            <w:r>
              <w:rPr>
                <w:rFonts w:eastAsia="Calibri"/>
              </w:rPr>
              <w:t>70 %</w:t>
            </w:r>
          </w:p>
        </w:tc>
        <w:tc>
          <w:tcPr>
            <w:tcW w:w="1676" w:type="dxa"/>
            <w:tcBorders>
              <w:left w:val="single" w:sz="4" w:space="0" w:color="000000"/>
              <w:bottom w:val="single" w:sz="4" w:space="0" w:color="000000"/>
              <w:right w:val="single" w:sz="4" w:space="0" w:color="000000"/>
            </w:tcBorders>
            <w:shd w:val="clear" w:color="auto" w:fill="auto"/>
            <w:vAlign w:val="center"/>
          </w:tcPr>
          <w:p w14:paraId="3DB79FA2" w14:textId="77777777" w:rsidR="00D435FE" w:rsidRDefault="00D435FE" w:rsidP="00F55230">
            <w:pPr>
              <w:spacing w:after="0"/>
              <w:jc w:val="center"/>
              <w:rPr>
                <w:rFonts w:cs="Arial"/>
                <w:szCs w:val="20"/>
              </w:rPr>
            </w:pPr>
          </w:p>
        </w:tc>
        <w:tc>
          <w:tcPr>
            <w:tcW w:w="1685" w:type="dxa"/>
            <w:tcBorders>
              <w:left w:val="single" w:sz="4" w:space="0" w:color="000000"/>
              <w:bottom w:val="single" w:sz="4" w:space="0" w:color="000000"/>
              <w:right w:val="single" w:sz="4" w:space="0" w:color="000000"/>
            </w:tcBorders>
            <w:shd w:val="clear" w:color="auto" w:fill="auto"/>
            <w:vAlign w:val="center"/>
          </w:tcPr>
          <w:p w14:paraId="4873EAA9" w14:textId="77777777" w:rsidR="00D435FE" w:rsidRDefault="005936AB" w:rsidP="00F55230">
            <w:pPr>
              <w:spacing w:after="0"/>
              <w:jc w:val="center"/>
              <w:rPr>
                <w:rFonts w:cs="Arial"/>
                <w:szCs w:val="20"/>
              </w:rPr>
            </w:pPr>
            <w:r>
              <w:rPr>
                <w:rFonts w:cs="Arial"/>
                <w:szCs w:val="20"/>
              </w:rPr>
              <w:t>X</w:t>
            </w:r>
            <w:r>
              <w:rPr>
                <w:rFonts w:cs="Arial"/>
                <w:szCs w:val="20"/>
                <w:vertAlign w:val="subscript"/>
              </w:rPr>
              <w:t>7</w:t>
            </w:r>
          </w:p>
        </w:tc>
        <w:tc>
          <w:tcPr>
            <w:tcW w:w="1685" w:type="dxa"/>
            <w:tcBorders>
              <w:left w:val="single" w:sz="4" w:space="0" w:color="000000"/>
              <w:bottom w:val="single" w:sz="4" w:space="0" w:color="000000"/>
              <w:right w:val="single" w:sz="4" w:space="0" w:color="000000"/>
            </w:tcBorders>
            <w:shd w:val="clear" w:color="auto" w:fill="auto"/>
            <w:vAlign w:val="center"/>
          </w:tcPr>
          <w:p w14:paraId="21FE39F3" w14:textId="77777777" w:rsidR="00D435FE" w:rsidRDefault="005936AB" w:rsidP="00F55230">
            <w:pPr>
              <w:spacing w:after="0"/>
              <w:jc w:val="center"/>
              <w:rPr>
                <w:rFonts w:cs="Arial"/>
                <w:szCs w:val="20"/>
              </w:rPr>
            </w:pPr>
            <w:r>
              <w:rPr>
                <w:rFonts w:cs="Arial"/>
                <w:szCs w:val="20"/>
              </w:rPr>
              <w:t>β</w:t>
            </w:r>
            <w:r>
              <w:rPr>
                <w:rFonts w:cs="Arial"/>
                <w:szCs w:val="20"/>
                <w:vertAlign w:val="subscript"/>
              </w:rPr>
              <w:t>7</w:t>
            </w:r>
          </w:p>
        </w:tc>
      </w:tr>
    </w:tbl>
    <w:p w14:paraId="32601559" w14:textId="77777777" w:rsidR="00D435FE" w:rsidRDefault="00D435FE">
      <w:pPr>
        <w:spacing w:line="276" w:lineRule="auto"/>
        <w:rPr>
          <w:rFonts w:cs="Arial"/>
          <w:iCs/>
          <w:sz w:val="2"/>
          <w:szCs w:val="20"/>
        </w:rPr>
      </w:pPr>
    </w:p>
    <w:p w14:paraId="2B1FD4C5" w14:textId="6D2E99F5" w:rsidR="00D435FE" w:rsidRDefault="00B27750">
      <w:pPr>
        <w:spacing w:line="276" w:lineRule="auto"/>
        <w:jc w:val="both"/>
        <w:rPr>
          <w:rFonts w:cs="Arial"/>
          <w:iCs/>
          <w:szCs w:val="20"/>
        </w:rPr>
      </w:pPr>
      <w:r>
        <w:rPr>
          <w:rFonts w:cs="Arial"/>
          <w:iCs/>
          <w:szCs w:val="20"/>
        </w:rPr>
        <w:t>Un</w:t>
      </w:r>
      <w:r w:rsidR="005936AB">
        <w:rPr>
          <w:rFonts w:cs="Arial"/>
          <w:iCs/>
          <w:szCs w:val="20"/>
        </w:rPr>
        <w:t xml:space="preserve"> test </w:t>
      </w:r>
      <w:r w:rsidR="005936AB" w:rsidRPr="00390D2D">
        <w:rPr>
          <w:rFonts w:cs="Arial"/>
          <w:iCs/>
          <w:szCs w:val="20"/>
        </w:rPr>
        <w:t xml:space="preserve">d’hypothèse de la significativité des effets des </w:t>
      </w:r>
      <w:r w:rsidR="005936AB">
        <w:rPr>
          <w:rFonts w:cs="Arial"/>
          <w:iCs/>
          <w:szCs w:val="20"/>
        </w:rPr>
        <w:t>7 variables explicatives est réalisé :</w:t>
      </w:r>
    </w:p>
    <w:p w14:paraId="7F325072" w14:textId="4E224CC3" w:rsidR="00D435FE" w:rsidRPr="00390D2D" w:rsidRDefault="005936AB" w:rsidP="00390D2D">
      <w:pPr>
        <w:pStyle w:val="Paragraphedeliste"/>
        <w:widowControl w:val="0"/>
        <w:spacing w:after="0" w:line="276" w:lineRule="auto"/>
        <w:rPr>
          <w:rFonts w:cs="Arial"/>
          <w:iCs/>
          <w:szCs w:val="20"/>
        </w:rPr>
      </w:pPr>
      <w:r w:rsidRPr="00390D2D">
        <w:rPr>
          <w:rFonts w:cs="Arial"/>
          <w:iCs/>
          <w:szCs w:val="20"/>
        </w:rPr>
        <w:t>H</w:t>
      </w:r>
      <w:r w:rsidRPr="00390D2D">
        <w:rPr>
          <w:rFonts w:cs="Arial"/>
          <w:iCs/>
          <w:szCs w:val="20"/>
          <w:vertAlign w:val="subscript"/>
        </w:rPr>
        <w:t>0</w:t>
      </w:r>
      <w:r w:rsidRPr="00390D2D">
        <w:rPr>
          <w:rFonts w:cs="Arial"/>
          <w:iCs/>
          <w:szCs w:val="20"/>
        </w:rPr>
        <w:t> : « l’effet de la modalité considérée n’est pas significativement différent de celui de la référence »</w:t>
      </w:r>
    </w:p>
    <w:p w14:paraId="48451F2C" w14:textId="77777777" w:rsidR="00D435FE" w:rsidRDefault="00D435FE" w:rsidP="007D5A79">
      <w:pPr>
        <w:pStyle w:val="Titre1"/>
        <w:numPr>
          <w:ilvl w:val="0"/>
          <w:numId w:val="0"/>
        </w:numPr>
        <w:ind w:left="720" w:hanging="360"/>
      </w:pPr>
    </w:p>
    <w:p w14:paraId="347F1447" w14:textId="1F69DF7B" w:rsidR="005936AB" w:rsidRDefault="005936AB">
      <w:pPr>
        <w:spacing w:line="276" w:lineRule="auto"/>
        <w:jc w:val="both"/>
        <w:rPr>
          <w:rFonts w:cs="Arial"/>
          <w:iCs/>
          <w:szCs w:val="20"/>
        </w:rPr>
      </w:pPr>
      <w:r>
        <w:rPr>
          <w:rFonts w:cs="Arial"/>
          <w:iCs/>
          <w:szCs w:val="20"/>
        </w:rPr>
        <w:t xml:space="preserve">Ce test calcule la probabilité p (appelée p-valeur) </w:t>
      </w:r>
      <w:r w:rsidRPr="006743FD">
        <w:rPr>
          <w:rFonts w:cs="Arial"/>
          <w:iCs/>
          <w:szCs w:val="20"/>
        </w:rPr>
        <w:t>de rejeter</w:t>
      </w:r>
      <w:r>
        <w:rPr>
          <w:rFonts w:cs="Arial"/>
          <w:iCs/>
          <w:szCs w:val="20"/>
        </w:rPr>
        <w:t xml:space="preserve"> à tort l’hypothèse nulle </w:t>
      </w:r>
      <w:bookmarkStart w:id="8" w:name="__DdeLink__2126_637142897"/>
      <w:r>
        <w:rPr>
          <w:rFonts w:cs="Arial"/>
          <w:iCs/>
          <w:szCs w:val="20"/>
        </w:rPr>
        <w:t>H</w:t>
      </w:r>
      <w:r>
        <w:rPr>
          <w:rFonts w:cs="Arial"/>
          <w:iCs/>
          <w:szCs w:val="20"/>
          <w:vertAlign w:val="subscript"/>
        </w:rPr>
        <w:t>0</w:t>
      </w:r>
      <w:bookmarkEnd w:id="8"/>
      <w:r>
        <w:rPr>
          <w:rFonts w:cs="Arial"/>
          <w:iCs/>
          <w:szCs w:val="20"/>
        </w:rPr>
        <w:t xml:space="preserve">. Si l’hypothèse </w:t>
      </w:r>
      <w:r w:rsidRPr="006743FD">
        <w:rPr>
          <w:rFonts w:cs="Arial"/>
          <w:iCs/>
          <w:szCs w:val="20"/>
        </w:rPr>
        <w:t>H</w:t>
      </w:r>
      <w:r w:rsidRPr="006743FD">
        <w:rPr>
          <w:rFonts w:cs="Arial"/>
          <w:iCs/>
          <w:szCs w:val="20"/>
          <w:vertAlign w:val="subscript"/>
        </w:rPr>
        <w:t>0</w:t>
      </w:r>
      <w:r>
        <w:rPr>
          <w:rFonts w:cs="Arial"/>
          <w:iCs/>
          <w:szCs w:val="20"/>
        </w:rPr>
        <w:t xml:space="preserve"> est retenue, alors l’effet est considéré comme « non significatif ». </w:t>
      </w:r>
      <w:r w:rsidRPr="006743FD">
        <w:rPr>
          <w:rFonts w:cs="Arial"/>
          <w:szCs w:val="20"/>
          <w:lang w:eastAsia="fr-FR"/>
        </w:rPr>
        <w:t xml:space="preserve">L’hypothèse </w:t>
      </w:r>
      <w:r w:rsidRPr="006743FD">
        <w:rPr>
          <w:rFonts w:cs="Arial"/>
          <w:iCs/>
          <w:szCs w:val="20"/>
          <w:lang w:eastAsia="fr-FR"/>
        </w:rPr>
        <w:t>H</w:t>
      </w:r>
      <w:r w:rsidRPr="006743FD">
        <w:rPr>
          <w:rFonts w:cs="Arial"/>
          <w:iCs/>
          <w:szCs w:val="20"/>
          <w:vertAlign w:val="subscript"/>
          <w:lang w:eastAsia="fr-FR"/>
        </w:rPr>
        <w:t>0</w:t>
      </w:r>
      <w:r>
        <w:rPr>
          <w:rFonts w:cs="Arial"/>
          <w:iCs/>
          <w:szCs w:val="20"/>
          <w:vertAlign w:val="subscript"/>
          <w:lang w:eastAsia="fr-FR"/>
        </w:rPr>
        <w:t xml:space="preserve"> </w:t>
      </w:r>
      <w:r>
        <w:rPr>
          <w:rFonts w:cs="Arial"/>
          <w:szCs w:val="20"/>
          <w:lang w:eastAsia="fr-FR"/>
        </w:rPr>
        <w:t xml:space="preserve">n’est pas acceptée si la p-valeur est inférieure au seuil de significativité α ; l'effet est alors considéré comme significatif. </w:t>
      </w:r>
      <w:r>
        <w:rPr>
          <w:rFonts w:cs="Arial"/>
          <w:b/>
          <w:szCs w:val="20"/>
          <w:lang w:eastAsia="fr-FR"/>
        </w:rPr>
        <w:t>Par convention, ce seuil de significativité est communément fixé à 5 % (MBENGUE, 2010).</w:t>
      </w:r>
      <w:r>
        <w:rPr>
          <w:rFonts w:cs="Arial"/>
          <w:szCs w:val="20"/>
          <w:lang w:eastAsia="fr-FR"/>
        </w:rPr>
        <w:t xml:space="preserve"> Dans le cadre de l’étude </w:t>
      </w:r>
      <w:r>
        <w:rPr>
          <w:rFonts w:cs="Arial"/>
          <w:i/>
          <w:szCs w:val="20"/>
          <w:lang w:eastAsia="fr-FR"/>
        </w:rPr>
        <w:t>in situ</w:t>
      </w:r>
      <w:r>
        <w:rPr>
          <w:rFonts w:cs="Arial"/>
          <w:szCs w:val="20"/>
          <w:lang w:eastAsia="fr-FR"/>
        </w:rPr>
        <w:t xml:space="preserve">, la valeur retenue pour α </w:t>
      </w:r>
      <w:r w:rsidR="00C8434F">
        <w:rPr>
          <w:rFonts w:cs="Arial"/>
          <w:szCs w:val="20"/>
          <w:lang w:eastAsia="fr-FR"/>
        </w:rPr>
        <w:t xml:space="preserve">a été </w:t>
      </w:r>
      <w:r>
        <w:rPr>
          <w:rFonts w:cs="Arial"/>
          <w:szCs w:val="20"/>
          <w:lang w:eastAsia="fr-FR"/>
        </w:rPr>
        <w:t xml:space="preserve">volontairement faible (0,1 %) </w:t>
      </w:r>
      <w:r w:rsidRPr="006743FD">
        <w:rPr>
          <w:rFonts w:cs="Arial"/>
          <w:szCs w:val="20"/>
          <w:lang w:eastAsia="fr-FR"/>
        </w:rPr>
        <w:t>afin de ne retenir que des effets très solides</w:t>
      </w:r>
      <w:r>
        <w:rPr>
          <w:rFonts w:cs="Arial"/>
          <w:szCs w:val="20"/>
          <w:lang w:eastAsia="fr-FR"/>
        </w:rPr>
        <w:t xml:space="preserve"> (PY, 1999).</w:t>
      </w:r>
      <w:r>
        <w:rPr>
          <w:rFonts w:cs="Arial"/>
          <w:iCs/>
          <w:szCs w:val="20"/>
        </w:rPr>
        <w:t xml:space="preserve"> </w:t>
      </w:r>
    </w:p>
    <w:p w14:paraId="7F71A257" w14:textId="3CA2EFCA" w:rsidR="005936AB" w:rsidRDefault="001C5083">
      <w:pPr>
        <w:spacing w:line="276" w:lineRule="auto"/>
        <w:jc w:val="both"/>
      </w:pPr>
      <w:r>
        <w:t>On</w:t>
      </w:r>
      <w:r w:rsidR="005936AB">
        <w:t xml:space="preserve"> procède </w:t>
      </w:r>
      <w:r>
        <w:t xml:space="preserve">alors </w:t>
      </w:r>
      <w:r w:rsidR="005936AB">
        <w:t>par itération en démarrant le processus en considérant le modèle complet, puis en éliminant à chaque itération l'effet le moins significatif (p-valeur la plus élevée) parmi les effets non signifi</w:t>
      </w:r>
      <w:r w:rsidR="00F83722">
        <w:t>catifs (p-valeur supérieure à 0,</w:t>
      </w:r>
      <w:r w:rsidR="005936AB">
        <w:t>1 %), et ce jusqu'à ne conserver que des effets significatifs.</w:t>
      </w:r>
    </w:p>
    <w:p w14:paraId="0D31565D" w14:textId="3B435736" w:rsidR="001C5083" w:rsidRDefault="001C5083">
      <w:pPr>
        <w:spacing w:line="276" w:lineRule="auto"/>
        <w:jc w:val="both"/>
        <w:rPr>
          <w:rFonts w:cs="Arial"/>
          <w:iCs/>
          <w:szCs w:val="20"/>
        </w:rPr>
      </w:pPr>
      <w:r>
        <w:t>Le tableau 3 ci-dessous illustre un exemple d’utilisation du modèle.</w:t>
      </w:r>
    </w:p>
    <w:p w14:paraId="0EEE8D2A" w14:textId="3E27A68E" w:rsidR="00D435FE" w:rsidRDefault="005936AB" w:rsidP="00EC2C93">
      <w:pPr>
        <w:pStyle w:val="Lgende"/>
        <w:keepNext/>
        <w:spacing w:line="276" w:lineRule="auto"/>
        <w:rPr>
          <w:rFonts w:eastAsia="Calibri" w:cs="Arial"/>
        </w:rPr>
      </w:pPr>
      <w:bookmarkStart w:id="9" w:name="_Ref484439932"/>
      <w:bookmarkStart w:id="10" w:name="_Toc492913259"/>
      <w:r>
        <w:t>Tableau</w:t>
      </w:r>
      <w:bookmarkEnd w:id="9"/>
      <w:r>
        <w:t xml:space="preserve"> 3 :</w:t>
      </w:r>
      <w:r>
        <w:rPr>
          <w:rFonts w:eastAsia="Calibri" w:cs="Arial"/>
          <w:i w:val="0"/>
        </w:rPr>
        <w:t xml:space="preserve"> </w:t>
      </w:r>
      <w:r w:rsidR="00EC2C93">
        <w:rPr>
          <w:rFonts w:eastAsia="Calibri" w:cs="Arial"/>
        </w:rPr>
        <w:t>Exemple de</w:t>
      </w:r>
      <w:r>
        <w:rPr>
          <w:rFonts w:eastAsia="Calibri" w:cs="Arial"/>
        </w:rPr>
        <w:t xml:space="preserve"> tests permettant d’identifier les effets significatifs et non significatifs des variables explicatives</w:t>
      </w:r>
      <w:bookmarkEnd w:id="10"/>
      <w:r w:rsidR="00AA2A10">
        <w:rPr>
          <w:rFonts w:eastAsia="Calibri" w:cs="Arial"/>
        </w:rPr>
        <w:t>,</w:t>
      </w:r>
      <w:r w:rsidR="004255C4">
        <w:rPr>
          <w:rFonts w:eastAsia="Calibri" w:cs="Arial"/>
        </w:rPr>
        <w:t xml:space="preserve"> pour des p</w:t>
      </w:r>
      <w:r w:rsidR="00AA2A10">
        <w:rPr>
          <w:rFonts w:eastAsia="Calibri" w:cs="Arial"/>
        </w:rPr>
        <w:t>-</w:t>
      </w:r>
      <w:r w:rsidR="004255C4">
        <w:rPr>
          <w:rFonts w:eastAsia="Calibri" w:cs="Arial"/>
        </w:rPr>
        <w:t>value</w:t>
      </w:r>
      <w:r w:rsidR="00AA2A10">
        <w:rPr>
          <w:rFonts w:eastAsia="Calibri" w:cs="Arial"/>
        </w:rPr>
        <w:t>s</w:t>
      </w:r>
      <w:r w:rsidR="004255C4">
        <w:rPr>
          <w:rFonts w:eastAsia="Calibri" w:cs="Arial"/>
        </w:rPr>
        <w:t xml:space="preserve"> exceptionnellement fixé</w:t>
      </w:r>
      <w:r w:rsidR="00AA2A10">
        <w:rPr>
          <w:rFonts w:eastAsia="Calibri" w:cs="Arial"/>
        </w:rPr>
        <w:t>e</w:t>
      </w:r>
      <w:r w:rsidR="004255C4">
        <w:rPr>
          <w:rFonts w:eastAsia="Calibri" w:cs="Arial"/>
        </w:rPr>
        <w:t>s à 0,1 %</w:t>
      </w:r>
    </w:p>
    <w:tbl>
      <w:tblPr>
        <w:tblStyle w:val="Grilledutableau"/>
        <w:tblW w:w="0" w:type="auto"/>
        <w:jc w:val="center"/>
        <w:tblLook w:val="04A0" w:firstRow="1" w:lastRow="0" w:firstColumn="1" w:lastColumn="0" w:noHBand="0" w:noVBand="1"/>
      </w:tblPr>
      <w:tblGrid>
        <w:gridCol w:w="2729"/>
        <w:gridCol w:w="2733"/>
      </w:tblGrid>
      <w:tr w:rsidR="005936AB" w14:paraId="0E1B88EC" w14:textId="77777777" w:rsidTr="005936AB">
        <w:trPr>
          <w:trHeight w:val="341"/>
          <w:jc w:val="center"/>
        </w:trPr>
        <w:tc>
          <w:tcPr>
            <w:tcW w:w="5462" w:type="dxa"/>
            <w:gridSpan w:val="2"/>
            <w:shd w:val="clear" w:color="auto" w:fill="D0CECE" w:themeFill="background2" w:themeFillShade="E6"/>
            <w:vAlign w:val="center"/>
          </w:tcPr>
          <w:p w14:paraId="54DF1AFF" w14:textId="3AAA9784" w:rsidR="005936AB" w:rsidRPr="005936AB" w:rsidRDefault="005936AB"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b/>
                <w:i w:val="0"/>
                <w:sz w:val="22"/>
              </w:rPr>
              <w:t>Ensemble</w:t>
            </w:r>
            <w:r w:rsidRPr="005936AB">
              <w:rPr>
                <w:rStyle w:val="Appelnotedebasdep"/>
                <w:rFonts w:asciiTheme="minorHAnsi" w:eastAsia="Calibri" w:hAnsiTheme="minorHAnsi" w:cs="Arial"/>
                <w:b/>
                <w:i w:val="0"/>
                <w:sz w:val="22"/>
              </w:rPr>
              <w:footnoteReference w:id="1"/>
            </w:r>
            <w:r w:rsidRPr="005936AB">
              <w:rPr>
                <w:rFonts w:asciiTheme="minorHAnsi" w:eastAsia="Calibri" w:hAnsiTheme="minorHAnsi" w:cs="Arial"/>
                <w:b/>
                <w:i w:val="0"/>
                <w:sz w:val="22"/>
              </w:rPr>
              <w:t xml:space="preserve"> de référence du 1</w:t>
            </w:r>
            <w:r w:rsidRPr="005936AB">
              <w:rPr>
                <w:rFonts w:asciiTheme="minorHAnsi" w:eastAsia="Calibri" w:hAnsiTheme="minorHAnsi" w:cs="Arial"/>
                <w:b/>
                <w:i w:val="0"/>
                <w:sz w:val="22"/>
                <w:vertAlign w:val="superscript"/>
              </w:rPr>
              <w:t>er</w:t>
            </w:r>
            <w:r w:rsidRPr="005936AB">
              <w:rPr>
                <w:rFonts w:asciiTheme="minorHAnsi" w:eastAsia="Calibri" w:hAnsiTheme="minorHAnsi" w:cs="Arial"/>
                <w:b/>
                <w:i w:val="0"/>
                <w:sz w:val="22"/>
              </w:rPr>
              <w:t xml:space="preserve"> test</w:t>
            </w:r>
          </w:p>
        </w:tc>
      </w:tr>
      <w:tr w:rsidR="005936AB" w14:paraId="78D7096B" w14:textId="77777777" w:rsidTr="005936AB">
        <w:trPr>
          <w:trHeight w:val="332"/>
          <w:jc w:val="center"/>
        </w:trPr>
        <w:tc>
          <w:tcPr>
            <w:tcW w:w="2729" w:type="dxa"/>
            <w:shd w:val="clear" w:color="auto" w:fill="F2F2F2" w:themeFill="background1" w:themeFillShade="F2"/>
            <w:vAlign w:val="center"/>
          </w:tcPr>
          <w:p w14:paraId="516088DF" w14:textId="6727F3D4" w:rsidR="005936AB" w:rsidRPr="005936AB" w:rsidRDefault="005936AB"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Prélèvement</w:t>
            </w:r>
          </w:p>
        </w:tc>
        <w:tc>
          <w:tcPr>
            <w:tcW w:w="2732" w:type="dxa"/>
            <w:vAlign w:val="center"/>
          </w:tcPr>
          <w:p w14:paraId="7F6FA342" w14:textId="691FD8A7" w:rsidR="005936AB" w:rsidRPr="005936AB" w:rsidRDefault="005936AB"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Bilan 24h</w:t>
            </w:r>
          </w:p>
        </w:tc>
      </w:tr>
      <w:tr w:rsidR="005936AB" w14:paraId="17112D4A" w14:textId="77777777" w:rsidTr="005936AB">
        <w:trPr>
          <w:trHeight w:val="332"/>
          <w:jc w:val="center"/>
        </w:trPr>
        <w:tc>
          <w:tcPr>
            <w:tcW w:w="2729" w:type="dxa"/>
            <w:shd w:val="clear" w:color="auto" w:fill="F2F2F2" w:themeFill="background1" w:themeFillShade="F2"/>
            <w:vAlign w:val="center"/>
          </w:tcPr>
          <w:p w14:paraId="1E4E9BD5" w14:textId="02C1F824" w:rsidR="005936AB" w:rsidRPr="005936AB" w:rsidRDefault="005936AB"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Famille</w:t>
            </w:r>
          </w:p>
        </w:tc>
        <w:tc>
          <w:tcPr>
            <w:tcW w:w="2732" w:type="dxa"/>
            <w:vAlign w:val="center"/>
          </w:tcPr>
          <w:p w14:paraId="48BD090E" w14:textId="05C7725C" w:rsidR="005936AB" w:rsidRPr="005936AB" w:rsidRDefault="005936AB"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B</w:t>
            </w:r>
          </w:p>
        </w:tc>
      </w:tr>
      <w:tr w:rsidR="005936AB" w14:paraId="7E351C18" w14:textId="77777777" w:rsidTr="005936AB">
        <w:trPr>
          <w:trHeight w:val="332"/>
          <w:jc w:val="center"/>
        </w:trPr>
        <w:tc>
          <w:tcPr>
            <w:tcW w:w="2729" w:type="dxa"/>
            <w:shd w:val="clear" w:color="auto" w:fill="F2F2F2" w:themeFill="background1" w:themeFillShade="F2"/>
            <w:vAlign w:val="center"/>
          </w:tcPr>
          <w:p w14:paraId="3159D23F" w14:textId="665934AC" w:rsidR="005936AB" w:rsidRPr="005936AB" w:rsidRDefault="005936AB"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Age</w:t>
            </w:r>
          </w:p>
        </w:tc>
        <w:tc>
          <w:tcPr>
            <w:tcW w:w="2732" w:type="dxa"/>
            <w:vAlign w:val="center"/>
          </w:tcPr>
          <w:p w14:paraId="5DE390C1" w14:textId="4F7AF848" w:rsidR="005936AB" w:rsidRPr="005936AB" w:rsidRDefault="005936AB"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2 ans – 4 ans</w:t>
            </w:r>
          </w:p>
        </w:tc>
      </w:tr>
      <w:tr w:rsidR="005936AB" w14:paraId="5094DA48" w14:textId="77777777" w:rsidTr="005936AB">
        <w:trPr>
          <w:trHeight w:val="332"/>
          <w:jc w:val="center"/>
        </w:trPr>
        <w:tc>
          <w:tcPr>
            <w:tcW w:w="2729" w:type="dxa"/>
            <w:shd w:val="clear" w:color="auto" w:fill="F2F2F2" w:themeFill="background1" w:themeFillShade="F2"/>
            <w:vAlign w:val="center"/>
          </w:tcPr>
          <w:p w14:paraId="19893905" w14:textId="0746A227" w:rsidR="005936AB" w:rsidRPr="005936AB" w:rsidRDefault="005936AB"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Charge</w:t>
            </w:r>
          </w:p>
        </w:tc>
        <w:tc>
          <w:tcPr>
            <w:tcW w:w="2732" w:type="dxa"/>
            <w:vAlign w:val="center"/>
          </w:tcPr>
          <w:p w14:paraId="405D2658" w14:textId="3B93B939" w:rsidR="005936AB" w:rsidRPr="005936AB" w:rsidRDefault="005936AB" w:rsidP="00810938">
            <w:pPr>
              <w:pStyle w:val="Lgende"/>
              <w:keepNext/>
              <w:spacing w:before="0" w:after="0"/>
              <w:rPr>
                <w:rFonts w:asciiTheme="minorHAnsi" w:eastAsia="Calibri" w:hAnsiTheme="minorHAnsi" w:cs="Arial"/>
                <w:i w:val="0"/>
                <w:sz w:val="22"/>
              </w:rPr>
            </w:pPr>
            <w:r w:rsidRPr="005936AB">
              <w:rPr>
                <w:rFonts w:asciiTheme="minorHAnsi" w:hAnsiTheme="minorHAnsi" w:cs="Arial"/>
                <w:i w:val="0"/>
                <w:sz w:val="22"/>
              </w:rPr>
              <w:t xml:space="preserve">&gt; </w:t>
            </w:r>
            <w:r w:rsidRPr="005936AB">
              <w:rPr>
                <w:rFonts w:asciiTheme="minorHAnsi" w:eastAsia="Calibri" w:hAnsiTheme="minorHAnsi" w:cs="Arial"/>
                <w:i w:val="0"/>
                <w:sz w:val="22"/>
              </w:rPr>
              <w:t>70%</w:t>
            </w:r>
          </w:p>
        </w:tc>
      </w:tr>
    </w:tbl>
    <w:p w14:paraId="73930AEE" w14:textId="31F3612B" w:rsidR="00D435FE" w:rsidRDefault="00D435FE">
      <w:pPr>
        <w:pStyle w:val="Corpsdetexte"/>
        <w:rPr>
          <w:rFonts w:eastAsia="Calibri"/>
        </w:rPr>
      </w:pPr>
    </w:p>
    <w:p w14:paraId="60E37C3F" w14:textId="12225D9F" w:rsidR="00C82F6D" w:rsidRDefault="00C82F6D">
      <w:pPr>
        <w:pStyle w:val="Corpsdetexte"/>
        <w:rPr>
          <w:rFonts w:eastAsia="Calibri"/>
        </w:rPr>
      </w:pPr>
    </w:p>
    <w:p w14:paraId="4B6E6358" w14:textId="77777777" w:rsidR="00C82F6D" w:rsidRDefault="00C82F6D">
      <w:pPr>
        <w:pStyle w:val="Corpsdetexte"/>
        <w:rPr>
          <w:rFonts w:eastAsia="Calibri"/>
        </w:rPr>
      </w:pPr>
    </w:p>
    <w:tbl>
      <w:tblPr>
        <w:tblStyle w:val="Grilledutableau"/>
        <w:tblW w:w="0" w:type="auto"/>
        <w:tblInd w:w="1129" w:type="dxa"/>
        <w:tblLook w:val="04A0" w:firstRow="1" w:lastRow="0" w:firstColumn="1" w:lastColumn="0" w:noHBand="0" w:noVBand="1"/>
      </w:tblPr>
      <w:tblGrid>
        <w:gridCol w:w="1270"/>
        <w:gridCol w:w="1650"/>
        <w:gridCol w:w="1649"/>
        <w:gridCol w:w="663"/>
        <w:gridCol w:w="1560"/>
        <w:gridCol w:w="1562"/>
      </w:tblGrid>
      <w:tr w:rsidR="005936AB" w14:paraId="77148C02" w14:textId="77777777" w:rsidTr="00AB47A4">
        <w:trPr>
          <w:trHeight w:val="319"/>
        </w:trPr>
        <w:tc>
          <w:tcPr>
            <w:tcW w:w="1270" w:type="dxa"/>
            <w:vMerge w:val="restart"/>
            <w:shd w:val="clear" w:color="auto" w:fill="D0CECE" w:themeFill="background2" w:themeFillShade="E6"/>
            <w:vAlign w:val="center"/>
          </w:tcPr>
          <w:p w14:paraId="2B4FEE70" w14:textId="292CFCAF"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eastAsia="Calibri" w:hAnsiTheme="minorHAnsi"/>
                <w:b/>
                <w:sz w:val="22"/>
                <w:szCs w:val="22"/>
              </w:rPr>
              <w:lastRenderedPageBreak/>
              <w:t>1</w:t>
            </w:r>
            <w:r w:rsidRPr="005936AB">
              <w:rPr>
                <w:rFonts w:asciiTheme="minorHAnsi" w:eastAsia="Calibri" w:hAnsiTheme="minorHAnsi"/>
                <w:b/>
                <w:sz w:val="22"/>
                <w:szCs w:val="22"/>
                <w:vertAlign w:val="superscript"/>
              </w:rPr>
              <w:t>er</w:t>
            </w:r>
            <w:r w:rsidRPr="005936AB">
              <w:rPr>
                <w:rFonts w:asciiTheme="minorHAnsi" w:eastAsia="Calibri" w:hAnsiTheme="minorHAnsi"/>
                <w:b/>
                <w:sz w:val="22"/>
                <w:szCs w:val="22"/>
              </w:rPr>
              <w:t xml:space="preserve"> test</w:t>
            </w:r>
          </w:p>
        </w:tc>
        <w:tc>
          <w:tcPr>
            <w:tcW w:w="3962" w:type="dxa"/>
            <w:gridSpan w:val="3"/>
            <w:shd w:val="clear" w:color="auto" w:fill="D0CECE" w:themeFill="background2" w:themeFillShade="E6"/>
            <w:vAlign w:val="center"/>
          </w:tcPr>
          <w:p w14:paraId="4C377677" w14:textId="1944F55E"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eastAsia="Calibri" w:hAnsiTheme="minorHAnsi"/>
                <w:b/>
                <w:sz w:val="22"/>
                <w:szCs w:val="22"/>
              </w:rPr>
              <w:t>Variable</w:t>
            </w:r>
            <w:r w:rsidR="00057B46">
              <w:rPr>
                <w:rFonts w:asciiTheme="minorHAnsi" w:eastAsia="Calibri" w:hAnsiTheme="minorHAnsi"/>
                <w:b/>
                <w:sz w:val="22"/>
                <w:szCs w:val="22"/>
              </w:rPr>
              <w:t>s</w:t>
            </w:r>
            <w:r w:rsidRPr="005936AB">
              <w:rPr>
                <w:rFonts w:asciiTheme="minorHAnsi" w:eastAsia="Calibri" w:hAnsiTheme="minorHAnsi"/>
                <w:b/>
                <w:sz w:val="22"/>
                <w:szCs w:val="22"/>
              </w:rPr>
              <w:t xml:space="preserve"> explicatives</w:t>
            </w:r>
          </w:p>
        </w:tc>
        <w:tc>
          <w:tcPr>
            <w:tcW w:w="3122" w:type="dxa"/>
            <w:gridSpan w:val="2"/>
            <w:shd w:val="clear" w:color="auto" w:fill="D0CECE" w:themeFill="background2" w:themeFillShade="E6"/>
            <w:vAlign w:val="center"/>
          </w:tcPr>
          <w:p w14:paraId="5848ACA8" w14:textId="3A6F8CEE"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eastAsia="Calibri" w:hAnsiTheme="minorHAnsi"/>
                <w:b/>
                <w:sz w:val="22"/>
                <w:szCs w:val="22"/>
              </w:rPr>
              <w:t>Résultats du test d’hypothèse</w:t>
            </w:r>
          </w:p>
        </w:tc>
      </w:tr>
      <w:tr w:rsidR="005936AB" w14:paraId="5EFA2351" w14:textId="77777777" w:rsidTr="00AB47A4">
        <w:trPr>
          <w:trHeight w:val="331"/>
        </w:trPr>
        <w:tc>
          <w:tcPr>
            <w:tcW w:w="1270" w:type="dxa"/>
            <w:vMerge/>
            <w:shd w:val="clear" w:color="auto" w:fill="D0CECE" w:themeFill="background2" w:themeFillShade="E6"/>
            <w:vAlign w:val="center"/>
          </w:tcPr>
          <w:p w14:paraId="6A4C26E7" w14:textId="77777777" w:rsidR="005936AB" w:rsidRPr="005936AB" w:rsidRDefault="005936AB" w:rsidP="00AB47A4">
            <w:pPr>
              <w:pStyle w:val="Corpsdetexte"/>
              <w:spacing w:after="0"/>
              <w:jc w:val="center"/>
              <w:rPr>
                <w:rFonts w:asciiTheme="minorHAnsi" w:eastAsia="Calibri" w:hAnsiTheme="minorHAnsi"/>
                <w:sz w:val="22"/>
                <w:szCs w:val="22"/>
              </w:rPr>
            </w:pPr>
          </w:p>
        </w:tc>
        <w:tc>
          <w:tcPr>
            <w:tcW w:w="1650" w:type="dxa"/>
            <w:shd w:val="clear" w:color="auto" w:fill="F2F2F2" w:themeFill="background1" w:themeFillShade="F2"/>
            <w:vAlign w:val="center"/>
          </w:tcPr>
          <w:p w14:paraId="067D67A1" w14:textId="74AF869E"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Prélèvement</w:t>
            </w:r>
          </w:p>
        </w:tc>
        <w:tc>
          <w:tcPr>
            <w:tcW w:w="1649" w:type="dxa"/>
            <w:shd w:val="clear" w:color="auto" w:fill="F2F2F2" w:themeFill="background1" w:themeFillShade="F2"/>
            <w:vAlign w:val="center"/>
          </w:tcPr>
          <w:p w14:paraId="13FD3AB2" w14:textId="0CCC4F3E"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Ponctuel</w:t>
            </w:r>
          </w:p>
        </w:tc>
        <w:tc>
          <w:tcPr>
            <w:tcW w:w="661" w:type="dxa"/>
            <w:vAlign w:val="center"/>
          </w:tcPr>
          <w:p w14:paraId="74C182C5" w14:textId="5B0653EA"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X</w:t>
            </w:r>
            <w:r w:rsidRPr="005936AB">
              <w:rPr>
                <w:rFonts w:asciiTheme="minorHAnsi" w:hAnsiTheme="minorHAnsi"/>
                <w:sz w:val="22"/>
                <w:vertAlign w:val="subscript"/>
              </w:rPr>
              <w:t>1</w:t>
            </w:r>
          </w:p>
        </w:tc>
        <w:tc>
          <w:tcPr>
            <w:tcW w:w="1560" w:type="dxa"/>
            <w:vAlign w:val="center"/>
          </w:tcPr>
          <w:p w14:paraId="3EC2C40A" w14:textId="1CCE2A93"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p &gt; 0,1 %</w:t>
            </w:r>
          </w:p>
        </w:tc>
        <w:tc>
          <w:tcPr>
            <w:tcW w:w="1561" w:type="dxa"/>
            <w:vAlign w:val="center"/>
          </w:tcPr>
          <w:p w14:paraId="50E792DE" w14:textId="2C4418D4" w:rsidR="005936AB" w:rsidRPr="005936AB" w:rsidRDefault="005936AB" w:rsidP="00AB47A4">
            <w:pPr>
              <w:pStyle w:val="Corpsdetexte"/>
              <w:spacing w:after="0"/>
              <w:jc w:val="right"/>
              <w:rPr>
                <w:rFonts w:asciiTheme="minorHAnsi" w:eastAsia="Calibri" w:hAnsiTheme="minorHAnsi"/>
                <w:sz w:val="22"/>
                <w:szCs w:val="22"/>
              </w:rPr>
            </w:pPr>
            <w:r w:rsidRPr="005936AB">
              <w:rPr>
                <w:rFonts w:asciiTheme="minorHAnsi" w:hAnsiTheme="minorHAnsi"/>
                <w:sz w:val="22"/>
              </w:rPr>
              <w:t>non significatif</w:t>
            </w:r>
          </w:p>
        </w:tc>
      </w:tr>
      <w:tr w:rsidR="005936AB" w14:paraId="3BC74ABF" w14:textId="77777777" w:rsidTr="00AB47A4">
        <w:trPr>
          <w:trHeight w:val="331"/>
        </w:trPr>
        <w:tc>
          <w:tcPr>
            <w:tcW w:w="1270" w:type="dxa"/>
            <w:vMerge/>
            <w:shd w:val="clear" w:color="auto" w:fill="D0CECE" w:themeFill="background2" w:themeFillShade="E6"/>
            <w:vAlign w:val="center"/>
          </w:tcPr>
          <w:p w14:paraId="3D29BE02" w14:textId="77777777" w:rsidR="005936AB" w:rsidRPr="005936AB" w:rsidRDefault="005936AB" w:rsidP="00AB47A4">
            <w:pPr>
              <w:pStyle w:val="Corpsdetexte"/>
              <w:spacing w:after="0"/>
              <w:jc w:val="center"/>
              <w:rPr>
                <w:rFonts w:asciiTheme="minorHAnsi" w:eastAsia="Calibri" w:hAnsiTheme="minorHAnsi"/>
                <w:sz w:val="22"/>
                <w:szCs w:val="22"/>
              </w:rPr>
            </w:pPr>
          </w:p>
        </w:tc>
        <w:tc>
          <w:tcPr>
            <w:tcW w:w="1650" w:type="dxa"/>
            <w:vMerge w:val="restart"/>
            <w:shd w:val="clear" w:color="auto" w:fill="F2F2F2" w:themeFill="background1" w:themeFillShade="F2"/>
            <w:vAlign w:val="center"/>
          </w:tcPr>
          <w:p w14:paraId="056B1591" w14:textId="3B9FAEBB"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Famille</w:t>
            </w:r>
          </w:p>
        </w:tc>
        <w:tc>
          <w:tcPr>
            <w:tcW w:w="1649" w:type="dxa"/>
            <w:shd w:val="clear" w:color="auto" w:fill="F2F2F2" w:themeFill="background1" w:themeFillShade="F2"/>
            <w:vAlign w:val="center"/>
          </w:tcPr>
          <w:p w14:paraId="7827100C" w14:textId="0872AA93"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A</w:t>
            </w:r>
          </w:p>
        </w:tc>
        <w:tc>
          <w:tcPr>
            <w:tcW w:w="661" w:type="dxa"/>
            <w:vAlign w:val="center"/>
          </w:tcPr>
          <w:p w14:paraId="0D9F9B4B" w14:textId="4B79452C"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X</w:t>
            </w:r>
            <w:r w:rsidRPr="005936AB">
              <w:rPr>
                <w:rFonts w:asciiTheme="minorHAnsi" w:hAnsiTheme="minorHAnsi"/>
                <w:sz w:val="22"/>
                <w:vertAlign w:val="subscript"/>
              </w:rPr>
              <w:t>2</w:t>
            </w:r>
          </w:p>
        </w:tc>
        <w:tc>
          <w:tcPr>
            <w:tcW w:w="1560" w:type="dxa"/>
            <w:vAlign w:val="center"/>
          </w:tcPr>
          <w:p w14:paraId="3F153455" w14:textId="065F7FC1"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p &lt; 0,1 %</w:t>
            </w:r>
          </w:p>
        </w:tc>
        <w:tc>
          <w:tcPr>
            <w:tcW w:w="1561" w:type="dxa"/>
            <w:vAlign w:val="center"/>
          </w:tcPr>
          <w:p w14:paraId="2B85818A" w14:textId="18B4CFA1" w:rsidR="005936AB" w:rsidRPr="005936AB" w:rsidRDefault="005936AB" w:rsidP="00AB47A4">
            <w:pPr>
              <w:pStyle w:val="Corpsdetexte"/>
              <w:spacing w:after="0"/>
              <w:jc w:val="right"/>
              <w:rPr>
                <w:rFonts w:asciiTheme="minorHAnsi" w:eastAsia="Calibri" w:hAnsiTheme="minorHAnsi"/>
                <w:sz w:val="22"/>
                <w:szCs w:val="22"/>
              </w:rPr>
            </w:pPr>
            <w:r w:rsidRPr="005936AB">
              <w:rPr>
                <w:rFonts w:asciiTheme="minorHAnsi" w:hAnsiTheme="minorHAnsi"/>
                <w:sz w:val="22"/>
              </w:rPr>
              <w:t>significatif</w:t>
            </w:r>
          </w:p>
        </w:tc>
      </w:tr>
      <w:tr w:rsidR="005936AB" w14:paraId="0785E1C0" w14:textId="77777777" w:rsidTr="00AB47A4">
        <w:trPr>
          <w:trHeight w:val="319"/>
        </w:trPr>
        <w:tc>
          <w:tcPr>
            <w:tcW w:w="1270" w:type="dxa"/>
            <w:vMerge/>
            <w:shd w:val="clear" w:color="auto" w:fill="D0CECE" w:themeFill="background2" w:themeFillShade="E6"/>
            <w:vAlign w:val="center"/>
          </w:tcPr>
          <w:p w14:paraId="678B6364" w14:textId="77777777" w:rsidR="005936AB" w:rsidRPr="005936AB" w:rsidRDefault="005936AB" w:rsidP="00AB47A4">
            <w:pPr>
              <w:pStyle w:val="Corpsdetexte"/>
              <w:spacing w:after="0"/>
              <w:jc w:val="center"/>
              <w:rPr>
                <w:rFonts w:asciiTheme="minorHAnsi" w:eastAsia="Calibri" w:hAnsiTheme="minorHAnsi"/>
                <w:sz w:val="22"/>
                <w:szCs w:val="22"/>
              </w:rPr>
            </w:pPr>
          </w:p>
        </w:tc>
        <w:tc>
          <w:tcPr>
            <w:tcW w:w="1650" w:type="dxa"/>
            <w:vMerge/>
            <w:shd w:val="clear" w:color="auto" w:fill="F2F2F2" w:themeFill="background1" w:themeFillShade="F2"/>
            <w:vAlign w:val="center"/>
          </w:tcPr>
          <w:p w14:paraId="6970E3A5" w14:textId="77777777" w:rsidR="005936AB" w:rsidRPr="005936AB" w:rsidRDefault="005936AB" w:rsidP="00AB47A4">
            <w:pPr>
              <w:pStyle w:val="Corpsdetexte"/>
              <w:spacing w:after="0"/>
              <w:jc w:val="center"/>
              <w:rPr>
                <w:rFonts w:asciiTheme="minorHAnsi" w:eastAsia="Calibri" w:hAnsiTheme="minorHAnsi"/>
                <w:sz w:val="22"/>
                <w:szCs w:val="22"/>
              </w:rPr>
            </w:pPr>
          </w:p>
        </w:tc>
        <w:tc>
          <w:tcPr>
            <w:tcW w:w="1649" w:type="dxa"/>
            <w:shd w:val="clear" w:color="auto" w:fill="F2F2F2" w:themeFill="background1" w:themeFillShade="F2"/>
            <w:vAlign w:val="center"/>
          </w:tcPr>
          <w:p w14:paraId="2ADA157F" w14:textId="09D669C1"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C</w:t>
            </w:r>
          </w:p>
        </w:tc>
        <w:tc>
          <w:tcPr>
            <w:tcW w:w="661" w:type="dxa"/>
            <w:vAlign w:val="center"/>
          </w:tcPr>
          <w:p w14:paraId="0B7779D7" w14:textId="6B8E1606"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X</w:t>
            </w:r>
            <w:r w:rsidRPr="005936AB">
              <w:rPr>
                <w:rFonts w:asciiTheme="minorHAnsi" w:hAnsiTheme="minorHAnsi"/>
                <w:sz w:val="22"/>
                <w:vertAlign w:val="subscript"/>
              </w:rPr>
              <w:t>3</w:t>
            </w:r>
          </w:p>
        </w:tc>
        <w:tc>
          <w:tcPr>
            <w:tcW w:w="1560" w:type="dxa"/>
            <w:vAlign w:val="center"/>
          </w:tcPr>
          <w:p w14:paraId="0189D246" w14:textId="44EFC968"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p &gt; 0,1 %</w:t>
            </w:r>
          </w:p>
        </w:tc>
        <w:tc>
          <w:tcPr>
            <w:tcW w:w="1561" w:type="dxa"/>
            <w:vAlign w:val="center"/>
          </w:tcPr>
          <w:p w14:paraId="1F547E81" w14:textId="3E0E83E8" w:rsidR="005936AB" w:rsidRPr="005936AB" w:rsidRDefault="005936AB" w:rsidP="00AB47A4">
            <w:pPr>
              <w:pStyle w:val="Corpsdetexte"/>
              <w:spacing w:after="0"/>
              <w:jc w:val="right"/>
              <w:rPr>
                <w:rFonts w:asciiTheme="minorHAnsi" w:eastAsia="Calibri" w:hAnsiTheme="minorHAnsi"/>
                <w:sz w:val="22"/>
                <w:szCs w:val="22"/>
              </w:rPr>
            </w:pPr>
            <w:r w:rsidRPr="005936AB">
              <w:rPr>
                <w:rFonts w:asciiTheme="minorHAnsi" w:hAnsiTheme="minorHAnsi"/>
                <w:sz w:val="22"/>
              </w:rPr>
              <w:t>non significatif</w:t>
            </w:r>
          </w:p>
        </w:tc>
      </w:tr>
      <w:tr w:rsidR="005936AB" w14:paraId="1793B2BB" w14:textId="77777777" w:rsidTr="00AB47A4">
        <w:trPr>
          <w:trHeight w:val="331"/>
        </w:trPr>
        <w:tc>
          <w:tcPr>
            <w:tcW w:w="1270" w:type="dxa"/>
            <w:vMerge/>
            <w:shd w:val="clear" w:color="auto" w:fill="D0CECE" w:themeFill="background2" w:themeFillShade="E6"/>
            <w:vAlign w:val="center"/>
          </w:tcPr>
          <w:p w14:paraId="36323B49" w14:textId="77777777" w:rsidR="005936AB" w:rsidRPr="005936AB" w:rsidRDefault="005936AB" w:rsidP="00AB47A4">
            <w:pPr>
              <w:pStyle w:val="Corpsdetexte"/>
              <w:spacing w:after="0"/>
              <w:jc w:val="center"/>
              <w:rPr>
                <w:rFonts w:asciiTheme="minorHAnsi" w:eastAsia="Calibri" w:hAnsiTheme="minorHAnsi"/>
                <w:sz w:val="22"/>
                <w:szCs w:val="22"/>
              </w:rPr>
            </w:pPr>
          </w:p>
        </w:tc>
        <w:tc>
          <w:tcPr>
            <w:tcW w:w="1650" w:type="dxa"/>
            <w:vMerge w:val="restart"/>
            <w:shd w:val="clear" w:color="auto" w:fill="F2F2F2" w:themeFill="background1" w:themeFillShade="F2"/>
            <w:vAlign w:val="center"/>
          </w:tcPr>
          <w:p w14:paraId="40192803" w14:textId="5260E2B3"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Age</w:t>
            </w:r>
          </w:p>
        </w:tc>
        <w:tc>
          <w:tcPr>
            <w:tcW w:w="1649" w:type="dxa"/>
            <w:shd w:val="clear" w:color="auto" w:fill="F2F2F2" w:themeFill="background1" w:themeFillShade="F2"/>
            <w:vAlign w:val="center"/>
          </w:tcPr>
          <w:p w14:paraId="2020DDFF" w14:textId="0307430A"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&lt; 2 ans</w:t>
            </w:r>
          </w:p>
        </w:tc>
        <w:tc>
          <w:tcPr>
            <w:tcW w:w="661" w:type="dxa"/>
            <w:vAlign w:val="center"/>
          </w:tcPr>
          <w:p w14:paraId="27F1507C" w14:textId="4DE72F0D"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X</w:t>
            </w:r>
            <w:r w:rsidRPr="005936AB">
              <w:rPr>
                <w:rFonts w:asciiTheme="minorHAnsi" w:hAnsiTheme="minorHAnsi"/>
                <w:sz w:val="22"/>
                <w:vertAlign w:val="subscript"/>
              </w:rPr>
              <w:t>4</w:t>
            </w:r>
          </w:p>
        </w:tc>
        <w:tc>
          <w:tcPr>
            <w:tcW w:w="1560" w:type="dxa"/>
            <w:vAlign w:val="center"/>
          </w:tcPr>
          <w:p w14:paraId="6FA97E82" w14:textId="3904E269"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p &gt; 0,1 %</w:t>
            </w:r>
          </w:p>
        </w:tc>
        <w:tc>
          <w:tcPr>
            <w:tcW w:w="1561" w:type="dxa"/>
            <w:vAlign w:val="center"/>
          </w:tcPr>
          <w:p w14:paraId="54673CC8" w14:textId="0B6EA413" w:rsidR="005936AB" w:rsidRPr="005936AB" w:rsidRDefault="005936AB" w:rsidP="00AB47A4">
            <w:pPr>
              <w:pStyle w:val="Corpsdetexte"/>
              <w:spacing w:after="0"/>
              <w:jc w:val="right"/>
              <w:rPr>
                <w:rFonts w:asciiTheme="minorHAnsi" w:eastAsia="Calibri" w:hAnsiTheme="minorHAnsi"/>
                <w:sz w:val="22"/>
                <w:szCs w:val="22"/>
              </w:rPr>
            </w:pPr>
            <w:r w:rsidRPr="005936AB">
              <w:rPr>
                <w:rFonts w:asciiTheme="minorHAnsi" w:hAnsiTheme="minorHAnsi"/>
                <w:sz w:val="22"/>
              </w:rPr>
              <w:t>non significatif</w:t>
            </w:r>
          </w:p>
        </w:tc>
      </w:tr>
      <w:tr w:rsidR="005936AB" w14:paraId="17FDC024" w14:textId="77777777" w:rsidTr="00AB47A4">
        <w:trPr>
          <w:trHeight w:val="331"/>
        </w:trPr>
        <w:tc>
          <w:tcPr>
            <w:tcW w:w="1270" w:type="dxa"/>
            <w:vMerge/>
            <w:shd w:val="clear" w:color="auto" w:fill="D0CECE" w:themeFill="background2" w:themeFillShade="E6"/>
            <w:vAlign w:val="center"/>
          </w:tcPr>
          <w:p w14:paraId="183C5CE5" w14:textId="77777777" w:rsidR="005936AB" w:rsidRPr="005936AB" w:rsidRDefault="005936AB" w:rsidP="00AB47A4">
            <w:pPr>
              <w:pStyle w:val="Corpsdetexte"/>
              <w:spacing w:after="0"/>
              <w:jc w:val="center"/>
              <w:rPr>
                <w:rFonts w:asciiTheme="minorHAnsi" w:eastAsia="Calibri" w:hAnsiTheme="minorHAnsi"/>
                <w:sz w:val="22"/>
                <w:szCs w:val="22"/>
              </w:rPr>
            </w:pPr>
          </w:p>
        </w:tc>
        <w:tc>
          <w:tcPr>
            <w:tcW w:w="1650" w:type="dxa"/>
            <w:vMerge/>
            <w:shd w:val="clear" w:color="auto" w:fill="F2F2F2" w:themeFill="background1" w:themeFillShade="F2"/>
            <w:vAlign w:val="center"/>
          </w:tcPr>
          <w:p w14:paraId="5EC47011" w14:textId="77777777" w:rsidR="005936AB" w:rsidRPr="005936AB" w:rsidRDefault="005936AB" w:rsidP="00AB47A4">
            <w:pPr>
              <w:pStyle w:val="Corpsdetexte"/>
              <w:spacing w:after="0"/>
              <w:jc w:val="center"/>
              <w:rPr>
                <w:rFonts w:asciiTheme="minorHAnsi" w:eastAsia="Calibri" w:hAnsiTheme="minorHAnsi"/>
                <w:sz w:val="22"/>
                <w:szCs w:val="22"/>
              </w:rPr>
            </w:pPr>
          </w:p>
        </w:tc>
        <w:tc>
          <w:tcPr>
            <w:tcW w:w="1649" w:type="dxa"/>
            <w:shd w:val="clear" w:color="auto" w:fill="F2F2F2" w:themeFill="background1" w:themeFillShade="F2"/>
            <w:vAlign w:val="center"/>
          </w:tcPr>
          <w:p w14:paraId="310C22D4" w14:textId="16306B20"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&gt; 4 ans</w:t>
            </w:r>
          </w:p>
        </w:tc>
        <w:tc>
          <w:tcPr>
            <w:tcW w:w="661" w:type="dxa"/>
            <w:vAlign w:val="center"/>
          </w:tcPr>
          <w:p w14:paraId="39A0F303" w14:textId="2E991CC8"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X</w:t>
            </w:r>
            <w:r w:rsidRPr="005936AB">
              <w:rPr>
                <w:rFonts w:asciiTheme="minorHAnsi" w:hAnsiTheme="minorHAnsi"/>
                <w:sz w:val="22"/>
                <w:vertAlign w:val="subscript"/>
              </w:rPr>
              <w:t>5</w:t>
            </w:r>
          </w:p>
        </w:tc>
        <w:tc>
          <w:tcPr>
            <w:tcW w:w="1560" w:type="dxa"/>
            <w:vAlign w:val="center"/>
          </w:tcPr>
          <w:p w14:paraId="6E978551" w14:textId="42F2011E"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p &lt; 0,1 %</w:t>
            </w:r>
          </w:p>
        </w:tc>
        <w:tc>
          <w:tcPr>
            <w:tcW w:w="1561" w:type="dxa"/>
            <w:vAlign w:val="center"/>
          </w:tcPr>
          <w:p w14:paraId="45E25C5A" w14:textId="5921BB48" w:rsidR="005936AB" w:rsidRPr="005936AB" w:rsidRDefault="005936AB" w:rsidP="00AB47A4">
            <w:pPr>
              <w:pStyle w:val="Corpsdetexte"/>
              <w:spacing w:after="0"/>
              <w:jc w:val="right"/>
              <w:rPr>
                <w:rFonts w:asciiTheme="minorHAnsi" w:eastAsia="Calibri" w:hAnsiTheme="minorHAnsi"/>
                <w:sz w:val="22"/>
                <w:szCs w:val="22"/>
              </w:rPr>
            </w:pPr>
            <w:r w:rsidRPr="005936AB">
              <w:rPr>
                <w:rFonts w:asciiTheme="minorHAnsi" w:hAnsiTheme="minorHAnsi"/>
                <w:sz w:val="22"/>
              </w:rPr>
              <w:t>significatif</w:t>
            </w:r>
          </w:p>
        </w:tc>
      </w:tr>
      <w:tr w:rsidR="005936AB" w14:paraId="7AF4A378" w14:textId="77777777" w:rsidTr="00AB47A4">
        <w:trPr>
          <w:trHeight w:val="331"/>
        </w:trPr>
        <w:tc>
          <w:tcPr>
            <w:tcW w:w="1270" w:type="dxa"/>
            <w:vMerge/>
            <w:shd w:val="clear" w:color="auto" w:fill="D0CECE" w:themeFill="background2" w:themeFillShade="E6"/>
            <w:vAlign w:val="center"/>
          </w:tcPr>
          <w:p w14:paraId="7CC0D794" w14:textId="77777777" w:rsidR="005936AB" w:rsidRPr="005936AB" w:rsidRDefault="005936AB" w:rsidP="00AB47A4">
            <w:pPr>
              <w:pStyle w:val="Corpsdetexte"/>
              <w:spacing w:after="0"/>
              <w:jc w:val="center"/>
              <w:rPr>
                <w:rFonts w:asciiTheme="minorHAnsi" w:eastAsia="Calibri" w:hAnsiTheme="minorHAnsi"/>
                <w:sz w:val="22"/>
                <w:szCs w:val="22"/>
              </w:rPr>
            </w:pPr>
          </w:p>
        </w:tc>
        <w:tc>
          <w:tcPr>
            <w:tcW w:w="1650" w:type="dxa"/>
            <w:vMerge w:val="restart"/>
            <w:shd w:val="clear" w:color="auto" w:fill="F2F2F2" w:themeFill="background1" w:themeFillShade="F2"/>
            <w:vAlign w:val="center"/>
          </w:tcPr>
          <w:p w14:paraId="0D1B32F1" w14:textId="032D463A"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Charge</w:t>
            </w:r>
          </w:p>
        </w:tc>
        <w:tc>
          <w:tcPr>
            <w:tcW w:w="1649" w:type="dxa"/>
            <w:shd w:val="clear" w:color="auto" w:fill="F2F2F2" w:themeFill="background1" w:themeFillShade="F2"/>
            <w:vAlign w:val="center"/>
          </w:tcPr>
          <w:p w14:paraId="677E09DC" w14:textId="09237ECD"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&lt; 30%</w:t>
            </w:r>
          </w:p>
        </w:tc>
        <w:tc>
          <w:tcPr>
            <w:tcW w:w="661" w:type="dxa"/>
            <w:vAlign w:val="center"/>
          </w:tcPr>
          <w:p w14:paraId="694D339B" w14:textId="7E1A9BC2"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X</w:t>
            </w:r>
            <w:r w:rsidRPr="005936AB">
              <w:rPr>
                <w:rFonts w:asciiTheme="minorHAnsi" w:hAnsiTheme="minorHAnsi"/>
                <w:sz w:val="22"/>
                <w:vertAlign w:val="subscript"/>
              </w:rPr>
              <w:t>6</w:t>
            </w:r>
          </w:p>
        </w:tc>
        <w:tc>
          <w:tcPr>
            <w:tcW w:w="1560" w:type="dxa"/>
            <w:vAlign w:val="center"/>
          </w:tcPr>
          <w:p w14:paraId="51C1B6B8" w14:textId="5DD6632D"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p &gt; 0,1 %</w:t>
            </w:r>
          </w:p>
        </w:tc>
        <w:tc>
          <w:tcPr>
            <w:tcW w:w="1561" w:type="dxa"/>
            <w:vAlign w:val="center"/>
          </w:tcPr>
          <w:p w14:paraId="0F8BA2E3" w14:textId="04A79F60" w:rsidR="005936AB" w:rsidRPr="005936AB" w:rsidRDefault="005936AB" w:rsidP="00AB47A4">
            <w:pPr>
              <w:pStyle w:val="Corpsdetexte"/>
              <w:spacing w:after="0"/>
              <w:jc w:val="right"/>
              <w:rPr>
                <w:rFonts w:asciiTheme="minorHAnsi" w:eastAsia="Calibri" w:hAnsiTheme="minorHAnsi"/>
                <w:sz w:val="22"/>
                <w:szCs w:val="22"/>
              </w:rPr>
            </w:pPr>
            <w:r w:rsidRPr="005936AB">
              <w:rPr>
                <w:rFonts w:asciiTheme="minorHAnsi" w:hAnsiTheme="minorHAnsi"/>
                <w:sz w:val="22"/>
              </w:rPr>
              <w:t>non significatif</w:t>
            </w:r>
          </w:p>
        </w:tc>
      </w:tr>
      <w:tr w:rsidR="005936AB" w14:paraId="16DD952F" w14:textId="77777777" w:rsidTr="00AB47A4">
        <w:trPr>
          <w:trHeight w:val="331"/>
        </w:trPr>
        <w:tc>
          <w:tcPr>
            <w:tcW w:w="1270" w:type="dxa"/>
            <w:vMerge/>
            <w:shd w:val="clear" w:color="auto" w:fill="D0CECE" w:themeFill="background2" w:themeFillShade="E6"/>
            <w:vAlign w:val="center"/>
          </w:tcPr>
          <w:p w14:paraId="16303DF7" w14:textId="77777777" w:rsidR="005936AB" w:rsidRPr="005936AB" w:rsidRDefault="005936AB" w:rsidP="00AB47A4">
            <w:pPr>
              <w:pStyle w:val="Corpsdetexte"/>
              <w:spacing w:after="0"/>
              <w:jc w:val="center"/>
              <w:rPr>
                <w:rFonts w:asciiTheme="minorHAnsi" w:eastAsia="Calibri" w:hAnsiTheme="minorHAnsi"/>
                <w:sz w:val="22"/>
                <w:szCs w:val="22"/>
              </w:rPr>
            </w:pPr>
          </w:p>
        </w:tc>
        <w:tc>
          <w:tcPr>
            <w:tcW w:w="1650" w:type="dxa"/>
            <w:vMerge/>
            <w:shd w:val="clear" w:color="auto" w:fill="F2F2F2" w:themeFill="background1" w:themeFillShade="F2"/>
            <w:vAlign w:val="center"/>
          </w:tcPr>
          <w:p w14:paraId="53C5DA83" w14:textId="77777777" w:rsidR="005936AB" w:rsidRPr="005936AB" w:rsidRDefault="005936AB" w:rsidP="00AB47A4">
            <w:pPr>
              <w:pStyle w:val="Corpsdetexte"/>
              <w:spacing w:after="0"/>
              <w:jc w:val="center"/>
              <w:rPr>
                <w:rFonts w:asciiTheme="minorHAnsi" w:eastAsia="Calibri" w:hAnsiTheme="minorHAnsi"/>
                <w:sz w:val="22"/>
                <w:szCs w:val="22"/>
              </w:rPr>
            </w:pPr>
          </w:p>
        </w:tc>
        <w:tc>
          <w:tcPr>
            <w:tcW w:w="1649" w:type="dxa"/>
            <w:shd w:val="clear" w:color="auto" w:fill="F2F2F2" w:themeFill="background1" w:themeFillShade="F2"/>
            <w:vAlign w:val="center"/>
          </w:tcPr>
          <w:p w14:paraId="685CACC1" w14:textId="213CA821"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30% – 70%</w:t>
            </w:r>
          </w:p>
        </w:tc>
        <w:tc>
          <w:tcPr>
            <w:tcW w:w="661" w:type="dxa"/>
            <w:vAlign w:val="center"/>
          </w:tcPr>
          <w:p w14:paraId="465C47CC" w14:textId="2D99DA2D"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X</w:t>
            </w:r>
            <w:r w:rsidRPr="005936AB">
              <w:rPr>
                <w:rFonts w:asciiTheme="minorHAnsi" w:hAnsiTheme="minorHAnsi"/>
                <w:sz w:val="22"/>
                <w:vertAlign w:val="subscript"/>
              </w:rPr>
              <w:t>7</w:t>
            </w:r>
          </w:p>
        </w:tc>
        <w:tc>
          <w:tcPr>
            <w:tcW w:w="1560" w:type="dxa"/>
            <w:vAlign w:val="center"/>
          </w:tcPr>
          <w:p w14:paraId="5D3B3539" w14:textId="0253C1F3" w:rsidR="005936AB" w:rsidRPr="005936AB" w:rsidRDefault="005936AB" w:rsidP="00AB47A4">
            <w:pPr>
              <w:pStyle w:val="Corpsdetexte"/>
              <w:spacing w:after="0"/>
              <w:jc w:val="center"/>
              <w:rPr>
                <w:rFonts w:asciiTheme="minorHAnsi" w:eastAsia="Calibri" w:hAnsiTheme="minorHAnsi"/>
                <w:sz w:val="22"/>
                <w:szCs w:val="22"/>
              </w:rPr>
            </w:pPr>
            <w:r w:rsidRPr="005936AB">
              <w:rPr>
                <w:rFonts w:asciiTheme="minorHAnsi" w:hAnsiTheme="minorHAnsi"/>
                <w:sz w:val="22"/>
              </w:rPr>
              <w:t>p &lt; 0,1 %</w:t>
            </w:r>
          </w:p>
        </w:tc>
        <w:tc>
          <w:tcPr>
            <w:tcW w:w="1561" w:type="dxa"/>
            <w:vAlign w:val="center"/>
          </w:tcPr>
          <w:p w14:paraId="4375BCEC" w14:textId="62443355" w:rsidR="005936AB" w:rsidRPr="005936AB" w:rsidRDefault="005936AB" w:rsidP="00AB47A4">
            <w:pPr>
              <w:pStyle w:val="Corpsdetexte"/>
              <w:spacing w:after="0"/>
              <w:jc w:val="right"/>
              <w:rPr>
                <w:rFonts w:asciiTheme="minorHAnsi" w:eastAsia="Calibri" w:hAnsiTheme="minorHAnsi"/>
                <w:sz w:val="22"/>
                <w:szCs w:val="22"/>
              </w:rPr>
            </w:pPr>
            <w:r w:rsidRPr="005936AB">
              <w:rPr>
                <w:rFonts w:asciiTheme="minorHAnsi" w:hAnsiTheme="minorHAnsi"/>
                <w:sz w:val="22"/>
              </w:rPr>
              <w:t>significatif</w:t>
            </w:r>
          </w:p>
        </w:tc>
      </w:tr>
    </w:tbl>
    <w:p w14:paraId="2FB3EAE4" w14:textId="199B1985" w:rsidR="005936AB" w:rsidRDefault="005936AB">
      <w:pPr>
        <w:pStyle w:val="Corpsdetexte"/>
        <w:rPr>
          <w:rFonts w:eastAsia="Calibri"/>
        </w:rPr>
      </w:pPr>
    </w:p>
    <w:tbl>
      <w:tblPr>
        <w:tblStyle w:val="Grilledutableau"/>
        <w:tblW w:w="0" w:type="auto"/>
        <w:jc w:val="center"/>
        <w:tblLook w:val="04A0" w:firstRow="1" w:lastRow="0" w:firstColumn="1" w:lastColumn="0" w:noHBand="0" w:noVBand="1"/>
      </w:tblPr>
      <w:tblGrid>
        <w:gridCol w:w="2219"/>
        <w:gridCol w:w="1808"/>
        <w:gridCol w:w="474"/>
        <w:gridCol w:w="1543"/>
      </w:tblGrid>
      <w:tr w:rsidR="00810938" w14:paraId="4AF053EF" w14:textId="5725A0DB" w:rsidTr="00810938">
        <w:trPr>
          <w:trHeight w:val="348"/>
          <w:jc w:val="center"/>
        </w:trPr>
        <w:tc>
          <w:tcPr>
            <w:tcW w:w="6044" w:type="dxa"/>
            <w:gridSpan w:val="4"/>
            <w:shd w:val="clear" w:color="auto" w:fill="D0CECE" w:themeFill="background2" w:themeFillShade="E6"/>
            <w:vAlign w:val="center"/>
          </w:tcPr>
          <w:p w14:paraId="5998C40E" w14:textId="57623CE5" w:rsidR="00810938" w:rsidRPr="005936AB" w:rsidRDefault="00810938" w:rsidP="00EC2C93">
            <w:pPr>
              <w:pStyle w:val="Lgende"/>
              <w:keepNext/>
              <w:spacing w:before="0" w:after="0"/>
              <w:rPr>
                <w:rFonts w:asciiTheme="minorHAnsi" w:eastAsia="Calibri" w:hAnsiTheme="minorHAnsi" w:cs="Arial"/>
                <w:b/>
                <w:i w:val="0"/>
                <w:sz w:val="22"/>
              </w:rPr>
            </w:pPr>
            <w:r w:rsidRPr="005936AB">
              <w:rPr>
                <w:rFonts w:asciiTheme="minorHAnsi" w:eastAsia="Calibri" w:hAnsiTheme="minorHAnsi" w:cs="Arial"/>
                <w:b/>
                <w:i w:val="0"/>
                <w:sz w:val="22"/>
              </w:rPr>
              <w:t>Ensemble</w:t>
            </w:r>
            <w:r>
              <w:rPr>
                <w:rFonts w:asciiTheme="minorHAnsi" w:eastAsia="Calibri" w:hAnsiTheme="minorHAnsi" w:cs="Arial"/>
                <w:b/>
                <w:i w:val="0"/>
                <w:sz w:val="22"/>
              </w:rPr>
              <w:t xml:space="preserve"> de référence du </w:t>
            </w:r>
            <w:r w:rsidR="00EC2C93">
              <w:rPr>
                <w:rFonts w:asciiTheme="minorHAnsi" w:eastAsia="Calibri" w:hAnsiTheme="minorHAnsi" w:cs="Arial"/>
                <w:b/>
                <w:i w:val="0"/>
                <w:sz w:val="22"/>
              </w:rPr>
              <w:t>dernier</w:t>
            </w:r>
            <w:r w:rsidRPr="005936AB">
              <w:rPr>
                <w:rFonts w:asciiTheme="minorHAnsi" w:eastAsia="Calibri" w:hAnsiTheme="minorHAnsi" w:cs="Arial"/>
                <w:b/>
                <w:i w:val="0"/>
                <w:sz w:val="22"/>
              </w:rPr>
              <w:t xml:space="preserve"> test</w:t>
            </w:r>
          </w:p>
        </w:tc>
      </w:tr>
      <w:tr w:rsidR="00810938" w14:paraId="3AA64368" w14:textId="54A62666" w:rsidTr="00810938">
        <w:trPr>
          <w:trHeight w:val="339"/>
          <w:jc w:val="center"/>
        </w:trPr>
        <w:tc>
          <w:tcPr>
            <w:tcW w:w="2219" w:type="dxa"/>
            <w:shd w:val="clear" w:color="auto" w:fill="F2F2F2" w:themeFill="background1" w:themeFillShade="F2"/>
            <w:vAlign w:val="center"/>
          </w:tcPr>
          <w:p w14:paraId="00D0E214" w14:textId="77777777" w:rsidR="00810938" w:rsidRPr="005936AB" w:rsidRDefault="00810938"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Prélèvement</w:t>
            </w:r>
          </w:p>
        </w:tc>
        <w:tc>
          <w:tcPr>
            <w:tcW w:w="1808" w:type="dxa"/>
            <w:vAlign w:val="center"/>
          </w:tcPr>
          <w:p w14:paraId="687DBC1B" w14:textId="77777777" w:rsidR="00810938" w:rsidRPr="005936AB" w:rsidRDefault="00810938"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Bilan 24h</w:t>
            </w:r>
          </w:p>
        </w:tc>
        <w:tc>
          <w:tcPr>
            <w:tcW w:w="474" w:type="dxa"/>
            <w:vAlign w:val="center"/>
          </w:tcPr>
          <w:p w14:paraId="32FC3157" w14:textId="5AB723D9" w:rsidR="00810938" w:rsidRPr="00810938" w:rsidRDefault="00810938" w:rsidP="00810938">
            <w:pPr>
              <w:pStyle w:val="Lgende"/>
              <w:keepNext/>
              <w:spacing w:before="0" w:after="0"/>
              <w:rPr>
                <w:rFonts w:asciiTheme="minorHAnsi" w:eastAsia="Calibri" w:hAnsiTheme="minorHAnsi" w:cs="Arial"/>
                <w:i w:val="0"/>
                <w:sz w:val="22"/>
              </w:rPr>
            </w:pPr>
            <w:r w:rsidRPr="00810938">
              <w:rPr>
                <w:rFonts w:asciiTheme="minorHAnsi" w:eastAsia="Calibri" w:hAnsiTheme="minorHAnsi" w:cs="Arial"/>
                <w:i w:val="0"/>
                <w:sz w:val="22"/>
              </w:rPr>
              <w:t xml:space="preserve">et </w:t>
            </w:r>
          </w:p>
        </w:tc>
        <w:tc>
          <w:tcPr>
            <w:tcW w:w="1541" w:type="dxa"/>
            <w:vAlign w:val="center"/>
          </w:tcPr>
          <w:p w14:paraId="051C04AE" w14:textId="3EE72016" w:rsidR="00810938" w:rsidRPr="00810938" w:rsidRDefault="00810938" w:rsidP="00810938">
            <w:pPr>
              <w:pStyle w:val="Lgende"/>
              <w:keepNext/>
              <w:spacing w:before="0" w:after="0"/>
              <w:rPr>
                <w:rFonts w:asciiTheme="minorHAnsi" w:eastAsia="Calibri" w:hAnsiTheme="minorHAnsi" w:cs="Arial"/>
                <w:i w:val="0"/>
                <w:sz w:val="22"/>
              </w:rPr>
            </w:pPr>
            <w:r w:rsidRPr="00810938">
              <w:rPr>
                <w:rFonts w:asciiTheme="minorHAnsi" w:eastAsia="Calibri" w:hAnsiTheme="minorHAnsi" w:cs="Arial"/>
                <w:i w:val="0"/>
                <w:sz w:val="22"/>
              </w:rPr>
              <w:t>ponctuel</w:t>
            </w:r>
          </w:p>
        </w:tc>
      </w:tr>
      <w:tr w:rsidR="00810938" w14:paraId="7BC36D2B" w14:textId="1EEC30B9" w:rsidTr="00810938">
        <w:trPr>
          <w:trHeight w:val="339"/>
          <w:jc w:val="center"/>
        </w:trPr>
        <w:tc>
          <w:tcPr>
            <w:tcW w:w="2219" w:type="dxa"/>
            <w:shd w:val="clear" w:color="auto" w:fill="F2F2F2" w:themeFill="background1" w:themeFillShade="F2"/>
            <w:vAlign w:val="center"/>
          </w:tcPr>
          <w:p w14:paraId="1774CBCB" w14:textId="77777777" w:rsidR="00810938" w:rsidRPr="005936AB" w:rsidRDefault="00810938"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Famille</w:t>
            </w:r>
          </w:p>
        </w:tc>
        <w:tc>
          <w:tcPr>
            <w:tcW w:w="1808" w:type="dxa"/>
            <w:vAlign w:val="center"/>
          </w:tcPr>
          <w:p w14:paraId="76BAEA82" w14:textId="77777777" w:rsidR="00810938" w:rsidRPr="005936AB" w:rsidRDefault="00810938"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B</w:t>
            </w:r>
          </w:p>
        </w:tc>
        <w:tc>
          <w:tcPr>
            <w:tcW w:w="474" w:type="dxa"/>
            <w:vAlign w:val="center"/>
          </w:tcPr>
          <w:p w14:paraId="120DBB19" w14:textId="43C6C72E" w:rsidR="00810938" w:rsidRPr="00810938" w:rsidRDefault="00810938" w:rsidP="00810938">
            <w:pPr>
              <w:pStyle w:val="Lgende"/>
              <w:keepNext/>
              <w:spacing w:before="0" w:after="0"/>
              <w:rPr>
                <w:rFonts w:asciiTheme="minorHAnsi" w:eastAsia="Calibri" w:hAnsiTheme="minorHAnsi" w:cs="Arial"/>
                <w:i w:val="0"/>
                <w:sz w:val="22"/>
              </w:rPr>
            </w:pPr>
            <w:r w:rsidRPr="00810938">
              <w:rPr>
                <w:rFonts w:asciiTheme="minorHAnsi" w:eastAsia="Calibri" w:hAnsiTheme="minorHAnsi" w:cs="Arial"/>
                <w:i w:val="0"/>
                <w:sz w:val="22"/>
              </w:rPr>
              <w:t xml:space="preserve">et </w:t>
            </w:r>
          </w:p>
        </w:tc>
        <w:tc>
          <w:tcPr>
            <w:tcW w:w="1541" w:type="dxa"/>
            <w:vAlign w:val="center"/>
          </w:tcPr>
          <w:p w14:paraId="6615F4CF" w14:textId="3BD40BB9" w:rsidR="00810938" w:rsidRPr="00810938" w:rsidRDefault="00810938" w:rsidP="00810938">
            <w:pPr>
              <w:pStyle w:val="Lgende"/>
              <w:keepNext/>
              <w:spacing w:before="0" w:after="0"/>
              <w:rPr>
                <w:rFonts w:asciiTheme="minorHAnsi" w:eastAsia="Calibri" w:hAnsiTheme="minorHAnsi" w:cs="Arial"/>
                <w:i w:val="0"/>
                <w:sz w:val="22"/>
              </w:rPr>
            </w:pPr>
            <w:r w:rsidRPr="00810938">
              <w:rPr>
                <w:rFonts w:asciiTheme="minorHAnsi" w:eastAsia="Calibri" w:hAnsiTheme="minorHAnsi" w:cs="Arial"/>
                <w:i w:val="0"/>
                <w:sz w:val="22"/>
              </w:rPr>
              <w:t>C</w:t>
            </w:r>
          </w:p>
        </w:tc>
      </w:tr>
      <w:tr w:rsidR="00810938" w14:paraId="15865667" w14:textId="735D8D9A" w:rsidTr="00810938">
        <w:trPr>
          <w:trHeight w:val="339"/>
          <w:jc w:val="center"/>
        </w:trPr>
        <w:tc>
          <w:tcPr>
            <w:tcW w:w="2219" w:type="dxa"/>
            <w:shd w:val="clear" w:color="auto" w:fill="F2F2F2" w:themeFill="background1" w:themeFillShade="F2"/>
            <w:vAlign w:val="center"/>
          </w:tcPr>
          <w:p w14:paraId="133FF2D9" w14:textId="77777777" w:rsidR="00810938" w:rsidRPr="005936AB" w:rsidRDefault="00810938"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Age</w:t>
            </w:r>
          </w:p>
        </w:tc>
        <w:tc>
          <w:tcPr>
            <w:tcW w:w="1808" w:type="dxa"/>
            <w:vAlign w:val="center"/>
          </w:tcPr>
          <w:p w14:paraId="17543BC9" w14:textId="77777777" w:rsidR="00810938" w:rsidRPr="005936AB" w:rsidRDefault="00810938"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2 ans – 4 ans</w:t>
            </w:r>
          </w:p>
        </w:tc>
        <w:tc>
          <w:tcPr>
            <w:tcW w:w="474" w:type="dxa"/>
            <w:vAlign w:val="center"/>
          </w:tcPr>
          <w:p w14:paraId="37B3078B" w14:textId="50D29425" w:rsidR="00810938" w:rsidRPr="00810938" w:rsidRDefault="00810938" w:rsidP="00810938">
            <w:pPr>
              <w:pStyle w:val="Lgende"/>
              <w:keepNext/>
              <w:spacing w:before="0" w:after="0"/>
              <w:rPr>
                <w:rFonts w:asciiTheme="minorHAnsi" w:eastAsia="Calibri" w:hAnsiTheme="minorHAnsi" w:cs="Arial"/>
                <w:i w:val="0"/>
                <w:sz w:val="22"/>
              </w:rPr>
            </w:pPr>
            <w:r w:rsidRPr="00810938">
              <w:rPr>
                <w:rFonts w:asciiTheme="minorHAnsi" w:eastAsia="Calibri" w:hAnsiTheme="minorHAnsi" w:cs="Arial"/>
                <w:i w:val="0"/>
                <w:sz w:val="22"/>
              </w:rPr>
              <w:t xml:space="preserve">et </w:t>
            </w:r>
          </w:p>
        </w:tc>
        <w:tc>
          <w:tcPr>
            <w:tcW w:w="1541" w:type="dxa"/>
            <w:vAlign w:val="center"/>
          </w:tcPr>
          <w:p w14:paraId="670E3611" w14:textId="398A2469" w:rsidR="00810938" w:rsidRPr="00810938" w:rsidRDefault="00810938" w:rsidP="00810938">
            <w:pPr>
              <w:pStyle w:val="Lgende"/>
              <w:keepNext/>
              <w:spacing w:before="0" w:after="0"/>
              <w:rPr>
                <w:rFonts w:asciiTheme="minorHAnsi" w:eastAsia="Calibri" w:hAnsiTheme="minorHAnsi" w:cs="Arial"/>
                <w:i w:val="0"/>
                <w:sz w:val="22"/>
              </w:rPr>
            </w:pPr>
            <w:r w:rsidRPr="00810938">
              <w:rPr>
                <w:rFonts w:asciiTheme="minorHAnsi" w:eastAsia="Calibri" w:hAnsiTheme="minorHAnsi" w:cs="Arial"/>
                <w:i w:val="0"/>
                <w:sz w:val="22"/>
              </w:rPr>
              <w:t>&lt; 2 ans</w:t>
            </w:r>
          </w:p>
        </w:tc>
      </w:tr>
      <w:tr w:rsidR="00810938" w14:paraId="2CD023A7" w14:textId="273D2463" w:rsidTr="00810938">
        <w:trPr>
          <w:trHeight w:val="339"/>
          <w:jc w:val="center"/>
        </w:trPr>
        <w:tc>
          <w:tcPr>
            <w:tcW w:w="2219" w:type="dxa"/>
            <w:shd w:val="clear" w:color="auto" w:fill="F2F2F2" w:themeFill="background1" w:themeFillShade="F2"/>
            <w:vAlign w:val="center"/>
          </w:tcPr>
          <w:p w14:paraId="5DAD72BA" w14:textId="77777777" w:rsidR="00810938" w:rsidRPr="005936AB" w:rsidRDefault="00810938" w:rsidP="00810938">
            <w:pPr>
              <w:pStyle w:val="Lgende"/>
              <w:keepNext/>
              <w:spacing w:before="0" w:after="0"/>
              <w:rPr>
                <w:rFonts w:asciiTheme="minorHAnsi" w:eastAsia="Calibri" w:hAnsiTheme="minorHAnsi" w:cs="Arial"/>
                <w:i w:val="0"/>
                <w:sz w:val="22"/>
              </w:rPr>
            </w:pPr>
            <w:r w:rsidRPr="005936AB">
              <w:rPr>
                <w:rFonts w:asciiTheme="minorHAnsi" w:eastAsia="Calibri" w:hAnsiTheme="minorHAnsi" w:cs="Arial"/>
                <w:i w:val="0"/>
                <w:sz w:val="22"/>
              </w:rPr>
              <w:t>Charge</w:t>
            </w:r>
          </w:p>
        </w:tc>
        <w:tc>
          <w:tcPr>
            <w:tcW w:w="1808" w:type="dxa"/>
            <w:vAlign w:val="center"/>
          </w:tcPr>
          <w:p w14:paraId="62172415" w14:textId="77777777" w:rsidR="00810938" w:rsidRPr="005936AB" w:rsidRDefault="00810938" w:rsidP="00810938">
            <w:pPr>
              <w:pStyle w:val="Lgende"/>
              <w:keepNext/>
              <w:spacing w:before="0" w:after="0"/>
              <w:rPr>
                <w:rFonts w:asciiTheme="minorHAnsi" w:eastAsia="Calibri" w:hAnsiTheme="minorHAnsi" w:cs="Arial"/>
                <w:i w:val="0"/>
                <w:sz w:val="22"/>
              </w:rPr>
            </w:pPr>
            <w:r w:rsidRPr="005936AB">
              <w:rPr>
                <w:rFonts w:asciiTheme="minorHAnsi" w:hAnsiTheme="minorHAnsi" w:cs="Arial"/>
                <w:i w:val="0"/>
                <w:sz w:val="22"/>
              </w:rPr>
              <w:t xml:space="preserve">&gt; </w:t>
            </w:r>
            <w:r w:rsidRPr="005936AB">
              <w:rPr>
                <w:rFonts w:asciiTheme="minorHAnsi" w:eastAsia="Calibri" w:hAnsiTheme="minorHAnsi" w:cs="Arial"/>
                <w:i w:val="0"/>
                <w:sz w:val="22"/>
              </w:rPr>
              <w:t>70%</w:t>
            </w:r>
          </w:p>
        </w:tc>
        <w:tc>
          <w:tcPr>
            <w:tcW w:w="474" w:type="dxa"/>
            <w:vAlign w:val="center"/>
          </w:tcPr>
          <w:p w14:paraId="13E5EC72" w14:textId="03A3A93D" w:rsidR="00810938" w:rsidRPr="00810938" w:rsidRDefault="00810938" w:rsidP="00810938">
            <w:pPr>
              <w:pStyle w:val="Lgende"/>
              <w:keepNext/>
              <w:spacing w:before="0" w:after="0"/>
              <w:rPr>
                <w:rFonts w:asciiTheme="minorHAnsi" w:hAnsiTheme="minorHAnsi" w:cs="Arial"/>
                <w:i w:val="0"/>
                <w:sz w:val="22"/>
              </w:rPr>
            </w:pPr>
            <w:r w:rsidRPr="00810938">
              <w:rPr>
                <w:rFonts w:asciiTheme="minorHAnsi" w:eastAsia="Calibri" w:hAnsiTheme="minorHAnsi"/>
                <w:i w:val="0"/>
                <w:sz w:val="22"/>
              </w:rPr>
              <w:t xml:space="preserve">et  </w:t>
            </w:r>
          </w:p>
        </w:tc>
        <w:tc>
          <w:tcPr>
            <w:tcW w:w="1541" w:type="dxa"/>
            <w:vAlign w:val="center"/>
          </w:tcPr>
          <w:p w14:paraId="6FA9A741" w14:textId="38A03B83" w:rsidR="00810938" w:rsidRPr="00810938" w:rsidRDefault="00810938" w:rsidP="00810938">
            <w:pPr>
              <w:pStyle w:val="Lgende"/>
              <w:keepNext/>
              <w:spacing w:before="0" w:after="0"/>
              <w:rPr>
                <w:rFonts w:asciiTheme="minorHAnsi" w:hAnsiTheme="minorHAnsi" w:cs="Arial"/>
                <w:i w:val="0"/>
                <w:sz w:val="22"/>
              </w:rPr>
            </w:pPr>
            <w:r w:rsidRPr="00810938">
              <w:rPr>
                <w:rFonts w:asciiTheme="minorHAnsi" w:hAnsiTheme="minorHAnsi" w:cs="Arial"/>
                <w:i w:val="0"/>
                <w:sz w:val="22"/>
              </w:rPr>
              <w:t>&lt; 30 %</w:t>
            </w:r>
          </w:p>
        </w:tc>
      </w:tr>
    </w:tbl>
    <w:p w14:paraId="3743C9EE" w14:textId="5F57A5AC" w:rsidR="00D435FE" w:rsidRDefault="00D435FE">
      <w:pPr>
        <w:pStyle w:val="Corpsdetexte"/>
        <w:rPr>
          <w:rFonts w:eastAsia="Calibri"/>
        </w:rPr>
      </w:pPr>
    </w:p>
    <w:tbl>
      <w:tblPr>
        <w:tblW w:w="82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1709"/>
        <w:gridCol w:w="1560"/>
        <w:gridCol w:w="552"/>
        <w:gridCol w:w="1637"/>
        <w:gridCol w:w="1640"/>
      </w:tblGrid>
      <w:tr w:rsidR="00D435FE" w14:paraId="6BFC1A2D" w14:textId="77777777" w:rsidTr="00810938">
        <w:trPr>
          <w:jc w:val="center"/>
        </w:trPr>
        <w:tc>
          <w:tcPr>
            <w:tcW w:w="1134" w:type="dxa"/>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EA68075" w14:textId="08FFBA47" w:rsidR="00D435FE" w:rsidRDefault="00EC2C93">
            <w:pPr>
              <w:spacing w:after="0"/>
              <w:jc w:val="center"/>
              <w:rPr>
                <w:rFonts w:eastAsia="Calibri"/>
                <w:b/>
              </w:rPr>
            </w:pPr>
            <w:r>
              <w:rPr>
                <w:rFonts w:eastAsia="Calibri"/>
                <w:b/>
              </w:rPr>
              <w:t xml:space="preserve">Dernier </w:t>
            </w:r>
            <w:r w:rsidR="005936AB">
              <w:rPr>
                <w:rFonts w:eastAsia="Calibri"/>
                <w:b/>
              </w:rPr>
              <w:t>test</w:t>
            </w:r>
          </w:p>
        </w:tc>
        <w:tc>
          <w:tcPr>
            <w:tcW w:w="3821"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49AEFE8" w14:textId="77777777" w:rsidR="00D435FE" w:rsidRDefault="005936AB">
            <w:pPr>
              <w:spacing w:after="0"/>
              <w:jc w:val="center"/>
              <w:rPr>
                <w:rFonts w:eastAsia="Calibri"/>
                <w:b/>
              </w:rPr>
            </w:pPr>
            <w:r>
              <w:rPr>
                <w:rFonts w:eastAsia="Calibri"/>
                <w:b/>
              </w:rPr>
              <w:t>Variables explicatives</w:t>
            </w:r>
          </w:p>
        </w:tc>
        <w:tc>
          <w:tcPr>
            <w:tcW w:w="32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6F2643C" w14:textId="77777777" w:rsidR="00D435FE" w:rsidRDefault="005936AB">
            <w:pPr>
              <w:spacing w:after="0"/>
              <w:jc w:val="center"/>
              <w:rPr>
                <w:rFonts w:eastAsia="Calibri"/>
                <w:b/>
              </w:rPr>
            </w:pPr>
            <w:r>
              <w:rPr>
                <w:rFonts w:eastAsia="Calibri"/>
                <w:b/>
              </w:rPr>
              <w:t>Résultats du test d’hypothèse</w:t>
            </w:r>
          </w:p>
        </w:tc>
      </w:tr>
      <w:tr w:rsidR="00D435FE" w14:paraId="6AB8EE99" w14:textId="77777777" w:rsidTr="00810938">
        <w:trPr>
          <w:jc w:val="center"/>
        </w:trPr>
        <w:tc>
          <w:tcPr>
            <w:tcW w:w="1134" w:type="dxa"/>
            <w:vMerge/>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1851C05" w14:textId="77777777" w:rsidR="00D435FE" w:rsidRDefault="00D435FE">
            <w:pPr>
              <w:spacing w:after="0"/>
              <w:jc w:val="center"/>
              <w:rPr>
                <w:rFonts w:eastAsia="Calibri"/>
              </w:rPr>
            </w:pPr>
          </w:p>
        </w:tc>
        <w:tc>
          <w:tcPr>
            <w:tcW w:w="17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A90C668" w14:textId="77777777" w:rsidR="00D435FE" w:rsidRDefault="005936AB">
            <w:pPr>
              <w:spacing w:after="0"/>
              <w:jc w:val="center"/>
              <w:rPr>
                <w:rFonts w:eastAsia="Calibri"/>
              </w:rPr>
            </w:pPr>
            <w:r>
              <w:rPr>
                <w:rFonts w:eastAsia="Calibri"/>
              </w:rPr>
              <w:t>Famille</w:t>
            </w:r>
          </w:p>
        </w:tc>
        <w:tc>
          <w:tcPr>
            <w:tcW w:w="15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F184E6A" w14:textId="77777777" w:rsidR="00D435FE" w:rsidRDefault="005936AB">
            <w:pPr>
              <w:spacing w:after="0"/>
              <w:jc w:val="center"/>
              <w:rPr>
                <w:rFonts w:eastAsia="Calibri"/>
              </w:rPr>
            </w:pPr>
            <w:r>
              <w:rPr>
                <w:rFonts w:eastAsia="Calibri"/>
              </w:rPr>
              <w:t>A</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4E8B0" w14:textId="77777777" w:rsidR="00D435FE" w:rsidRDefault="005936AB">
            <w:pPr>
              <w:spacing w:after="0"/>
              <w:jc w:val="center"/>
              <w:rPr>
                <w:rFonts w:eastAsia="Calibri"/>
              </w:rPr>
            </w:pPr>
            <w:r>
              <w:rPr>
                <w:rFonts w:eastAsia="Calibri"/>
              </w:rPr>
              <w:t>X</w:t>
            </w:r>
            <w:r>
              <w:rPr>
                <w:rFonts w:eastAsia="Calibri"/>
                <w:vertAlign w:val="subscript"/>
              </w:rPr>
              <w:t>1</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F79E9" w14:textId="77777777" w:rsidR="00D435FE" w:rsidRDefault="005936AB">
            <w:pPr>
              <w:spacing w:after="0"/>
              <w:jc w:val="center"/>
              <w:rPr>
                <w:rFonts w:eastAsia="Calibri"/>
              </w:rPr>
            </w:pPr>
            <w:r>
              <w:rPr>
                <w:rFonts w:eastAsia="Calibri"/>
              </w:rPr>
              <w:t>p &lt; 0,1 %</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4AE8C" w14:textId="77777777" w:rsidR="00D435FE" w:rsidRDefault="005936AB">
            <w:pPr>
              <w:spacing w:after="0"/>
              <w:jc w:val="right"/>
              <w:rPr>
                <w:rFonts w:eastAsia="Calibri"/>
              </w:rPr>
            </w:pPr>
            <w:r>
              <w:rPr>
                <w:rFonts w:eastAsia="Calibri"/>
              </w:rPr>
              <w:t>significatif</w:t>
            </w:r>
          </w:p>
        </w:tc>
      </w:tr>
      <w:tr w:rsidR="00D435FE" w14:paraId="45F7DCCC" w14:textId="77777777" w:rsidTr="00810938">
        <w:trPr>
          <w:jc w:val="center"/>
        </w:trPr>
        <w:tc>
          <w:tcPr>
            <w:tcW w:w="1134" w:type="dxa"/>
            <w:vMerge/>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3A65732" w14:textId="77777777" w:rsidR="00D435FE" w:rsidRDefault="00D435FE">
            <w:pPr>
              <w:spacing w:after="0"/>
              <w:jc w:val="center"/>
              <w:rPr>
                <w:rFonts w:eastAsia="Calibri"/>
              </w:rPr>
            </w:pPr>
          </w:p>
        </w:tc>
        <w:tc>
          <w:tcPr>
            <w:tcW w:w="17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F6BFD6B" w14:textId="77777777" w:rsidR="00D435FE" w:rsidRDefault="005936AB">
            <w:pPr>
              <w:spacing w:after="0"/>
              <w:jc w:val="center"/>
              <w:rPr>
                <w:rFonts w:eastAsia="Calibri"/>
              </w:rPr>
            </w:pPr>
            <w:r>
              <w:rPr>
                <w:rFonts w:eastAsia="Calibri"/>
              </w:rPr>
              <w:t>Age</w:t>
            </w:r>
          </w:p>
        </w:tc>
        <w:tc>
          <w:tcPr>
            <w:tcW w:w="15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CE5CD0F" w14:textId="77777777" w:rsidR="00D435FE" w:rsidRDefault="005936AB">
            <w:pPr>
              <w:spacing w:after="0"/>
              <w:jc w:val="center"/>
              <w:rPr>
                <w:rFonts w:eastAsia="Calibri"/>
              </w:rPr>
            </w:pPr>
            <w:r>
              <w:rPr>
                <w:rFonts w:ascii="Lucida Console" w:hAnsi="Lucida Console"/>
              </w:rPr>
              <w:t xml:space="preserve">&gt; </w:t>
            </w:r>
            <w:r>
              <w:rPr>
                <w:rFonts w:eastAsia="Calibri"/>
              </w:rPr>
              <w:t>4 ans</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89475" w14:textId="77777777" w:rsidR="00D435FE" w:rsidRDefault="005936AB">
            <w:pPr>
              <w:spacing w:after="0"/>
              <w:jc w:val="center"/>
              <w:rPr>
                <w:rFonts w:eastAsia="Calibri"/>
              </w:rPr>
            </w:pPr>
            <w:r>
              <w:rPr>
                <w:rFonts w:eastAsia="Calibri"/>
              </w:rPr>
              <w:t>X</w:t>
            </w:r>
            <w:r>
              <w:rPr>
                <w:rFonts w:eastAsia="Calibri"/>
                <w:vertAlign w:val="subscript"/>
              </w:rPr>
              <w:t>2</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44ECE" w14:textId="77777777" w:rsidR="00D435FE" w:rsidRDefault="005936AB">
            <w:pPr>
              <w:spacing w:after="0"/>
              <w:jc w:val="center"/>
              <w:rPr>
                <w:rFonts w:eastAsia="Calibri"/>
              </w:rPr>
            </w:pPr>
            <w:r>
              <w:rPr>
                <w:rFonts w:eastAsia="Calibri"/>
              </w:rPr>
              <w:t>p &lt; 0,1 %</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009E1" w14:textId="77777777" w:rsidR="00D435FE" w:rsidRDefault="005936AB">
            <w:pPr>
              <w:spacing w:after="0"/>
              <w:jc w:val="right"/>
              <w:rPr>
                <w:rFonts w:eastAsia="Calibri"/>
              </w:rPr>
            </w:pPr>
            <w:r>
              <w:rPr>
                <w:rFonts w:eastAsia="Calibri"/>
              </w:rPr>
              <w:t>significatif</w:t>
            </w:r>
          </w:p>
        </w:tc>
      </w:tr>
      <w:tr w:rsidR="00D435FE" w14:paraId="69DDD45D" w14:textId="77777777" w:rsidTr="00810938">
        <w:trPr>
          <w:jc w:val="center"/>
        </w:trPr>
        <w:tc>
          <w:tcPr>
            <w:tcW w:w="1134" w:type="dxa"/>
            <w:vMerge/>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0DE52B4" w14:textId="77777777" w:rsidR="00D435FE" w:rsidRDefault="00D435FE">
            <w:pPr>
              <w:spacing w:after="0"/>
              <w:jc w:val="center"/>
              <w:rPr>
                <w:rFonts w:eastAsia="Calibri"/>
              </w:rPr>
            </w:pPr>
          </w:p>
        </w:tc>
        <w:tc>
          <w:tcPr>
            <w:tcW w:w="17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C17A000" w14:textId="77777777" w:rsidR="00D435FE" w:rsidRDefault="005936AB">
            <w:pPr>
              <w:spacing w:after="0"/>
              <w:jc w:val="center"/>
              <w:rPr>
                <w:rFonts w:eastAsia="Calibri"/>
              </w:rPr>
            </w:pPr>
            <w:r>
              <w:rPr>
                <w:rFonts w:eastAsia="Calibri"/>
              </w:rPr>
              <w:t>Charge</w:t>
            </w:r>
          </w:p>
        </w:tc>
        <w:tc>
          <w:tcPr>
            <w:tcW w:w="15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1620D52" w14:textId="77777777" w:rsidR="00D435FE" w:rsidRDefault="005936AB">
            <w:pPr>
              <w:spacing w:after="0"/>
              <w:jc w:val="center"/>
              <w:rPr>
                <w:rFonts w:eastAsia="Calibri"/>
              </w:rPr>
            </w:pPr>
            <w:r>
              <w:rPr>
                <w:rFonts w:eastAsia="Calibri"/>
              </w:rPr>
              <w:t>30 % – 70 %</w:t>
            </w:r>
          </w:p>
        </w:tc>
        <w:tc>
          <w:tcPr>
            <w:tcW w:w="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5DD3B" w14:textId="77777777" w:rsidR="00D435FE" w:rsidRDefault="005936AB">
            <w:pPr>
              <w:spacing w:after="0"/>
              <w:jc w:val="center"/>
              <w:rPr>
                <w:rFonts w:eastAsia="Calibri"/>
              </w:rPr>
            </w:pPr>
            <w:r>
              <w:rPr>
                <w:rFonts w:eastAsia="Calibri"/>
              </w:rPr>
              <w:t>X</w:t>
            </w:r>
            <w:r>
              <w:rPr>
                <w:rFonts w:eastAsia="Calibri"/>
                <w:vertAlign w:val="subscript"/>
              </w:rPr>
              <w:t>3</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4DD21" w14:textId="77777777" w:rsidR="00D435FE" w:rsidRDefault="005936AB">
            <w:pPr>
              <w:spacing w:after="0"/>
              <w:jc w:val="center"/>
              <w:rPr>
                <w:rFonts w:eastAsia="Calibri"/>
              </w:rPr>
            </w:pPr>
            <w:r>
              <w:rPr>
                <w:rFonts w:eastAsia="Calibri"/>
              </w:rPr>
              <w:t>p &lt; 0,1 %</w:t>
            </w:r>
          </w:p>
        </w:tc>
        <w:tc>
          <w:tcPr>
            <w:tcW w:w="1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3F369" w14:textId="77777777" w:rsidR="00D435FE" w:rsidRDefault="005936AB">
            <w:pPr>
              <w:spacing w:after="0"/>
              <w:jc w:val="right"/>
              <w:rPr>
                <w:rFonts w:eastAsia="Calibri"/>
              </w:rPr>
            </w:pPr>
            <w:r>
              <w:rPr>
                <w:rFonts w:eastAsia="Calibri"/>
              </w:rPr>
              <w:t>significatif</w:t>
            </w:r>
          </w:p>
        </w:tc>
      </w:tr>
    </w:tbl>
    <w:p w14:paraId="7E28F016" w14:textId="77777777" w:rsidR="00D435FE" w:rsidRDefault="00D435FE">
      <w:pPr>
        <w:spacing w:line="276" w:lineRule="auto"/>
        <w:rPr>
          <w:rFonts w:cs="Arial"/>
          <w:iCs/>
          <w:szCs w:val="20"/>
        </w:rPr>
      </w:pPr>
    </w:p>
    <w:p w14:paraId="038F8950" w14:textId="794B99CC" w:rsidR="00D435FE" w:rsidRDefault="005936AB">
      <w:pPr>
        <w:spacing w:line="276" w:lineRule="auto"/>
        <w:jc w:val="both"/>
        <w:rPr>
          <w:rFonts w:cs="Arial"/>
          <w:iCs/>
          <w:szCs w:val="20"/>
        </w:rPr>
      </w:pPr>
      <w:r>
        <w:rPr>
          <w:rFonts w:cs="Arial"/>
          <w:iCs/>
          <w:szCs w:val="20"/>
        </w:rPr>
        <w:t>A partir de cet exemple, les conclusions sont les suivantes :</w:t>
      </w:r>
    </w:p>
    <w:p w14:paraId="3493655B" w14:textId="77777777" w:rsidR="00D435FE" w:rsidRDefault="005936AB">
      <w:pPr>
        <w:widowControl w:val="0"/>
        <w:numPr>
          <w:ilvl w:val="0"/>
          <w:numId w:val="5"/>
        </w:numPr>
        <w:spacing w:after="0" w:line="276" w:lineRule="auto"/>
        <w:jc w:val="both"/>
        <w:rPr>
          <w:rFonts w:cs="Arial"/>
          <w:iCs/>
          <w:szCs w:val="20"/>
        </w:rPr>
      </w:pPr>
      <w:r>
        <w:rPr>
          <w:rFonts w:cs="Arial"/>
          <w:iCs/>
          <w:szCs w:val="20"/>
        </w:rPr>
        <w:t>Le mode de prélèvement n’a pas d’effet sur la variable dépendante Y, et l’outil considère que les deux types de prélèvement sont semblables.</w:t>
      </w:r>
    </w:p>
    <w:p w14:paraId="15A41CBE" w14:textId="77777777" w:rsidR="00D435FE" w:rsidRDefault="005936AB">
      <w:pPr>
        <w:widowControl w:val="0"/>
        <w:numPr>
          <w:ilvl w:val="0"/>
          <w:numId w:val="5"/>
        </w:numPr>
        <w:spacing w:after="0" w:line="276" w:lineRule="auto"/>
        <w:jc w:val="both"/>
        <w:rPr>
          <w:rFonts w:cs="Arial"/>
          <w:iCs/>
          <w:szCs w:val="20"/>
        </w:rPr>
      </w:pPr>
      <w:r>
        <w:rPr>
          <w:rFonts w:cs="Arial"/>
          <w:iCs/>
          <w:szCs w:val="20"/>
        </w:rPr>
        <w:t>Pour les familles,</w:t>
      </w:r>
    </w:p>
    <w:p w14:paraId="53EF5FD7" w14:textId="77777777" w:rsidR="00D435FE" w:rsidRDefault="005936AB">
      <w:pPr>
        <w:widowControl w:val="0"/>
        <w:numPr>
          <w:ilvl w:val="0"/>
          <w:numId w:val="9"/>
        </w:numPr>
        <w:spacing w:after="0" w:line="276" w:lineRule="auto"/>
        <w:jc w:val="both"/>
        <w:rPr>
          <w:rFonts w:cs="Arial"/>
          <w:iCs/>
          <w:szCs w:val="20"/>
        </w:rPr>
      </w:pPr>
      <w:r>
        <w:rPr>
          <w:rFonts w:cs="Arial"/>
          <w:iCs/>
          <w:szCs w:val="20"/>
        </w:rPr>
        <w:t>La famille A n’est pas semblable aux familles B et C,</w:t>
      </w:r>
    </w:p>
    <w:p w14:paraId="213CAB80" w14:textId="77777777" w:rsidR="00D435FE" w:rsidRDefault="005936AB">
      <w:pPr>
        <w:widowControl w:val="0"/>
        <w:numPr>
          <w:ilvl w:val="0"/>
          <w:numId w:val="9"/>
        </w:numPr>
        <w:spacing w:after="0" w:line="276" w:lineRule="auto"/>
        <w:jc w:val="both"/>
        <w:rPr>
          <w:rFonts w:cs="Arial"/>
          <w:iCs/>
          <w:szCs w:val="20"/>
        </w:rPr>
      </w:pPr>
      <w:r>
        <w:rPr>
          <w:rFonts w:cs="Arial"/>
          <w:iCs/>
          <w:szCs w:val="20"/>
        </w:rPr>
        <w:t>L’outil n’identifie pas d’effet significatif distinguant les familles B et C.</w:t>
      </w:r>
    </w:p>
    <w:p w14:paraId="2F8C12A9" w14:textId="77777777" w:rsidR="00D435FE" w:rsidRDefault="005936AB">
      <w:pPr>
        <w:widowControl w:val="0"/>
        <w:numPr>
          <w:ilvl w:val="0"/>
          <w:numId w:val="12"/>
        </w:numPr>
        <w:spacing w:after="0" w:line="276" w:lineRule="auto"/>
        <w:jc w:val="both"/>
        <w:rPr>
          <w:rFonts w:cs="Arial"/>
          <w:iCs/>
          <w:szCs w:val="20"/>
        </w:rPr>
      </w:pPr>
      <w:r>
        <w:rPr>
          <w:rFonts w:cs="Arial"/>
          <w:iCs/>
          <w:szCs w:val="20"/>
        </w:rPr>
        <w:t>Pour les classes d’âge,</w:t>
      </w:r>
    </w:p>
    <w:p w14:paraId="2BB4A9F9" w14:textId="77777777" w:rsidR="00D435FE" w:rsidRDefault="005936AB">
      <w:pPr>
        <w:widowControl w:val="0"/>
        <w:numPr>
          <w:ilvl w:val="0"/>
          <w:numId w:val="10"/>
        </w:numPr>
        <w:spacing w:after="0" w:line="276" w:lineRule="auto"/>
        <w:jc w:val="both"/>
        <w:rPr>
          <w:rFonts w:cs="Arial"/>
          <w:iCs/>
          <w:szCs w:val="20"/>
        </w:rPr>
      </w:pPr>
      <w:r>
        <w:rPr>
          <w:rFonts w:cs="Arial"/>
          <w:iCs/>
          <w:szCs w:val="20"/>
        </w:rPr>
        <w:t>Les dispositifs mis récemment en service (moins de 4 ans) ne sont pas semblables aux dispositifs mis en service depuis plus de 4 ans,</w:t>
      </w:r>
    </w:p>
    <w:p w14:paraId="4CE9815C" w14:textId="77777777" w:rsidR="00D435FE" w:rsidRDefault="005936AB">
      <w:pPr>
        <w:widowControl w:val="0"/>
        <w:numPr>
          <w:ilvl w:val="0"/>
          <w:numId w:val="10"/>
        </w:numPr>
        <w:spacing w:after="0" w:line="276" w:lineRule="auto"/>
        <w:jc w:val="both"/>
        <w:rPr>
          <w:rFonts w:cs="Arial"/>
          <w:iCs/>
          <w:szCs w:val="20"/>
        </w:rPr>
      </w:pPr>
      <w:r>
        <w:rPr>
          <w:rFonts w:cs="Arial"/>
          <w:iCs/>
          <w:szCs w:val="20"/>
        </w:rPr>
        <w:t>L’outil n’identifie pas d’effet de l’âge du dispositif dès lors que celui-ci a moins de 4 ans.</w:t>
      </w:r>
    </w:p>
    <w:p w14:paraId="35148056" w14:textId="77777777" w:rsidR="00D435FE" w:rsidRDefault="005936AB">
      <w:pPr>
        <w:widowControl w:val="0"/>
        <w:numPr>
          <w:ilvl w:val="0"/>
          <w:numId w:val="6"/>
        </w:numPr>
        <w:spacing w:after="0" w:line="276" w:lineRule="auto"/>
        <w:jc w:val="both"/>
        <w:rPr>
          <w:rFonts w:cs="Arial"/>
          <w:iCs/>
          <w:szCs w:val="20"/>
        </w:rPr>
      </w:pPr>
      <w:r>
        <w:rPr>
          <w:rFonts w:cs="Arial"/>
          <w:iCs/>
          <w:szCs w:val="20"/>
        </w:rPr>
        <w:t>Pour le taux de charge,</w:t>
      </w:r>
    </w:p>
    <w:p w14:paraId="6E8C3BE1" w14:textId="77777777" w:rsidR="00D435FE" w:rsidRDefault="005936AB">
      <w:pPr>
        <w:widowControl w:val="0"/>
        <w:numPr>
          <w:ilvl w:val="0"/>
          <w:numId w:val="11"/>
        </w:numPr>
        <w:spacing w:after="0" w:line="276" w:lineRule="auto"/>
        <w:jc w:val="both"/>
        <w:rPr>
          <w:rFonts w:cs="Arial"/>
          <w:iCs/>
          <w:szCs w:val="20"/>
        </w:rPr>
      </w:pPr>
      <w:r>
        <w:rPr>
          <w:rFonts w:cs="Arial"/>
          <w:iCs/>
          <w:szCs w:val="20"/>
        </w:rPr>
        <w:t xml:space="preserve">Les dispositifs moyennement chargés (30 % – 70 %) ne sont pas semblables aux dispositifs faiblement (&lt; 30 %) ou fortement (&gt; 70 %) chargés, </w:t>
      </w:r>
    </w:p>
    <w:p w14:paraId="14E2225F" w14:textId="77777777" w:rsidR="00D435FE" w:rsidRDefault="005936AB">
      <w:pPr>
        <w:widowControl w:val="0"/>
        <w:numPr>
          <w:ilvl w:val="0"/>
          <w:numId w:val="11"/>
        </w:numPr>
        <w:spacing w:after="0" w:line="276" w:lineRule="auto"/>
        <w:jc w:val="both"/>
        <w:rPr>
          <w:rFonts w:cs="Arial"/>
          <w:iCs/>
          <w:szCs w:val="20"/>
        </w:rPr>
      </w:pPr>
      <w:r>
        <w:rPr>
          <w:rFonts w:cs="Arial"/>
          <w:iCs/>
          <w:szCs w:val="20"/>
        </w:rPr>
        <w:t>L’outil n’identifie pas d’effet de charge dès lors que le dispositif est, soit faiblement (&lt; 30 %), soit fortement (&gt; 70 %) chargé.</w:t>
      </w:r>
    </w:p>
    <w:p w14:paraId="424D6543" w14:textId="77777777" w:rsidR="00D435FE" w:rsidRDefault="00D435FE">
      <w:pPr>
        <w:widowControl w:val="0"/>
        <w:spacing w:after="0" w:line="276" w:lineRule="auto"/>
        <w:ind w:left="1440"/>
        <w:jc w:val="both"/>
        <w:rPr>
          <w:rFonts w:cs="Arial"/>
          <w:iCs/>
          <w:szCs w:val="20"/>
        </w:rPr>
      </w:pPr>
    </w:p>
    <w:p w14:paraId="2E329182" w14:textId="77777777" w:rsidR="00D435FE" w:rsidRDefault="005936AB">
      <w:pPr>
        <w:spacing w:line="276" w:lineRule="auto"/>
        <w:jc w:val="both"/>
        <w:rPr>
          <w:rFonts w:cs="Arial"/>
          <w:iCs/>
          <w:szCs w:val="20"/>
        </w:rPr>
      </w:pPr>
      <w:r>
        <w:rPr>
          <w:rFonts w:cs="Arial"/>
          <w:iCs/>
          <w:szCs w:val="20"/>
        </w:rPr>
        <w:t xml:space="preserve">Lorsque les effets des variables explicatives sont déterminés, le modèle permet d’obtenir les médianes de chaque ensemble par rapport à la variable dépendante : </w:t>
      </w:r>
    </w:p>
    <w:p w14:paraId="6504FDB8" w14:textId="77777777" w:rsidR="00D435FE" w:rsidRDefault="005936AB">
      <w:pPr>
        <w:spacing w:line="276" w:lineRule="auto"/>
        <w:jc w:val="center"/>
        <w:rPr>
          <w:rFonts w:cs="Arial"/>
          <w:i/>
          <w:iCs/>
          <w:szCs w:val="20"/>
        </w:rPr>
      </w:pPr>
      <w:r>
        <w:rPr>
          <w:rFonts w:cs="Arial"/>
          <w:i/>
          <w:iCs/>
          <w:szCs w:val="20"/>
        </w:rPr>
        <w:t>Y = e</w:t>
      </w:r>
      <w:r>
        <w:rPr>
          <w:rFonts w:cs="Arial"/>
          <w:i/>
          <w:iCs/>
          <w:szCs w:val="20"/>
          <w:vertAlign w:val="superscript"/>
        </w:rPr>
        <w:t>µ</w:t>
      </w:r>
    </w:p>
    <w:p w14:paraId="0B865F5A" w14:textId="77777777" w:rsidR="00D435FE" w:rsidRPr="006743FD" w:rsidRDefault="005936AB">
      <w:pPr>
        <w:spacing w:line="276" w:lineRule="auto"/>
        <w:jc w:val="both"/>
        <w:rPr>
          <w:rFonts w:cs="Arial"/>
          <w:iCs/>
          <w:szCs w:val="20"/>
        </w:rPr>
      </w:pPr>
      <w:r w:rsidRPr="006743FD">
        <w:rPr>
          <w:rFonts w:cs="Arial"/>
          <w:iCs/>
          <w:szCs w:val="20"/>
        </w:rPr>
        <w:t>De plus, les coefficients β</w:t>
      </w:r>
      <w:r w:rsidRPr="006743FD">
        <w:rPr>
          <w:rFonts w:cs="Arial"/>
          <w:iCs/>
          <w:szCs w:val="20"/>
          <w:vertAlign w:val="subscript"/>
        </w:rPr>
        <w:t>1</w:t>
      </w:r>
      <w:r w:rsidRPr="006743FD">
        <w:rPr>
          <w:rFonts w:cs="Arial"/>
          <w:iCs/>
          <w:szCs w:val="20"/>
        </w:rPr>
        <w:t>, β</w:t>
      </w:r>
      <w:r w:rsidRPr="006743FD">
        <w:rPr>
          <w:rFonts w:cs="Arial"/>
          <w:iCs/>
          <w:szCs w:val="20"/>
          <w:vertAlign w:val="subscript"/>
        </w:rPr>
        <w:t>2</w:t>
      </w:r>
      <w:r w:rsidRPr="006743FD">
        <w:rPr>
          <w:rFonts w:cs="Arial"/>
          <w:iCs/>
          <w:szCs w:val="20"/>
        </w:rPr>
        <w:t>, … déterminent des facteurs quantifiant l’influence (positive ou négative) attachés à chaque variable explicative X</w:t>
      </w:r>
      <w:r w:rsidRPr="006743FD">
        <w:rPr>
          <w:rFonts w:cs="Arial"/>
          <w:iCs/>
          <w:szCs w:val="20"/>
          <w:vertAlign w:val="subscript"/>
        </w:rPr>
        <w:t>1</w:t>
      </w:r>
      <w:r w:rsidRPr="006743FD">
        <w:rPr>
          <w:rFonts w:cs="Arial"/>
          <w:iCs/>
          <w:szCs w:val="20"/>
        </w:rPr>
        <w:t>, X</w:t>
      </w:r>
      <w:r w:rsidRPr="006743FD">
        <w:rPr>
          <w:rFonts w:cs="Arial"/>
          <w:iCs/>
          <w:szCs w:val="20"/>
          <w:vertAlign w:val="subscript"/>
        </w:rPr>
        <w:t>2</w:t>
      </w:r>
      <w:r w:rsidRPr="006743FD">
        <w:rPr>
          <w:rFonts w:cs="Arial"/>
          <w:iCs/>
          <w:szCs w:val="20"/>
        </w:rPr>
        <w:t>, …par rapport à la référence. Ils se calculent ainsi :</w:t>
      </w:r>
    </w:p>
    <w:p w14:paraId="3D04BB90" w14:textId="77777777" w:rsidR="00D435FE" w:rsidRPr="006743FD" w:rsidRDefault="005936AB">
      <w:pPr>
        <w:widowControl w:val="0"/>
        <w:numPr>
          <w:ilvl w:val="0"/>
          <w:numId w:val="6"/>
        </w:numPr>
        <w:spacing w:after="0" w:line="276" w:lineRule="auto"/>
        <w:jc w:val="both"/>
        <w:rPr>
          <w:rFonts w:cs="Arial"/>
          <w:iCs/>
          <w:szCs w:val="20"/>
        </w:rPr>
      </w:pPr>
      <w:r w:rsidRPr="006743FD">
        <w:rPr>
          <w:rFonts w:cs="Arial"/>
          <w:iCs/>
          <w:szCs w:val="20"/>
        </w:rPr>
        <w:t>si β est positif, le facteur de modification est e</w:t>
      </w:r>
      <w:r w:rsidRPr="006743FD">
        <w:rPr>
          <w:rFonts w:cs="Arial"/>
          <w:iCs/>
          <w:szCs w:val="20"/>
          <w:vertAlign w:val="superscript"/>
        </w:rPr>
        <w:t>β</w:t>
      </w:r>
      <w:r w:rsidRPr="006743FD">
        <w:rPr>
          <w:rFonts w:cs="Arial"/>
          <w:iCs/>
          <w:szCs w:val="20"/>
        </w:rPr>
        <w:t xml:space="preserve"> - 1. Par exemple :</w:t>
      </w:r>
    </w:p>
    <w:p w14:paraId="799C622B" w14:textId="77777777" w:rsidR="00D435FE" w:rsidRPr="006743FD" w:rsidRDefault="005936AB">
      <w:pPr>
        <w:spacing w:line="276" w:lineRule="auto"/>
        <w:ind w:left="1800"/>
        <w:jc w:val="both"/>
        <w:rPr>
          <w:rFonts w:cs="Arial"/>
          <w:iCs/>
          <w:szCs w:val="20"/>
        </w:rPr>
      </w:pPr>
      <w:r w:rsidRPr="006743FD">
        <w:rPr>
          <w:rFonts w:cs="Arial"/>
          <w:iCs/>
          <w:szCs w:val="20"/>
        </w:rPr>
        <w:t>Pour β = 1,5, le facteur est e</w:t>
      </w:r>
      <w:r w:rsidRPr="006743FD">
        <w:rPr>
          <w:rFonts w:cs="Arial"/>
          <w:iCs/>
          <w:szCs w:val="20"/>
          <w:vertAlign w:val="superscript"/>
        </w:rPr>
        <w:t xml:space="preserve">1.5 </w:t>
      </w:r>
      <w:r w:rsidRPr="006743FD">
        <w:rPr>
          <w:rFonts w:cs="Arial"/>
          <w:iCs/>
          <w:szCs w:val="20"/>
        </w:rPr>
        <w:t>- 1, soit 3,48 ou une augmentation de 348 %.</w:t>
      </w:r>
    </w:p>
    <w:p w14:paraId="7F6F0A2C" w14:textId="77777777" w:rsidR="00D435FE" w:rsidRPr="006743FD" w:rsidRDefault="005936AB">
      <w:pPr>
        <w:widowControl w:val="0"/>
        <w:numPr>
          <w:ilvl w:val="0"/>
          <w:numId w:val="6"/>
        </w:numPr>
        <w:spacing w:after="0" w:line="276" w:lineRule="auto"/>
        <w:jc w:val="both"/>
        <w:rPr>
          <w:rFonts w:cs="Arial"/>
          <w:iCs/>
          <w:szCs w:val="20"/>
        </w:rPr>
      </w:pPr>
      <w:r w:rsidRPr="006743FD">
        <w:rPr>
          <w:rFonts w:cs="Arial"/>
          <w:iCs/>
          <w:szCs w:val="20"/>
        </w:rPr>
        <w:t>si β est négatif, le facteur de modification est 1 - e</w:t>
      </w:r>
      <w:r w:rsidRPr="006743FD">
        <w:rPr>
          <w:rFonts w:cs="Arial"/>
          <w:iCs/>
          <w:szCs w:val="20"/>
          <w:vertAlign w:val="superscript"/>
        </w:rPr>
        <w:t>β</w:t>
      </w:r>
      <w:r w:rsidRPr="006743FD">
        <w:rPr>
          <w:rFonts w:cs="Arial"/>
          <w:iCs/>
          <w:szCs w:val="20"/>
        </w:rPr>
        <w:t>. Par exemple :</w:t>
      </w:r>
    </w:p>
    <w:p w14:paraId="61E6323E" w14:textId="1758D256" w:rsidR="00D435FE" w:rsidRDefault="005936AB">
      <w:pPr>
        <w:spacing w:line="276" w:lineRule="auto"/>
        <w:ind w:left="1800"/>
        <w:jc w:val="both"/>
        <w:rPr>
          <w:rFonts w:cs="Arial"/>
          <w:iCs/>
          <w:szCs w:val="20"/>
        </w:rPr>
      </w:pPr>
      <w:r w:rsidRPr="006743FD">
        <w:rPr>
          <w:rFonts w:cs="Arial"/>
          <w:iCs/>
          <w:szCs w:val="20"/>
        </w:rPr>
        <w:lastRenderedPageBreak/>
        <w:t>Pour β = -1,5, le facteur est 1 - e</w:t>
      </w:r>
      <w:r w:rsidRPr="006743FD">
        <w:rPr>
          <w:rFonts w:cs="Arial"/>
          <w:iCs/>
          <w:szCs w:val="20"/>
          <w:vertAlign w:val="superscript"/>
        </w:rPr>
        <w:t>-1.5</w:t>
      </w:r>
      <w:r w:rsidRPr="006743FD">
        <w:rPr>
          <w:rFonts w:cs="Arial"/>
          <w:iCs/>
          <w:szCs w:val="20"/>
        </w:rPr>
        <w:t>,</w:t>
      </w:r>
      <w:r w:rsidRPr="006743FD">
        <w:rPr>
          <w:rFonts w:cs="Arial"/>
          <w:iCs/>
          <w:szCs w:val="20"/>
          <w:vertAlign w:val="superscript"/>
        </w:rPr>
        <w:t xml:space="preserve"> </w:t>
      </w:r>
      <w:r w:rsidRPr="006743FD">
        <w:rPr>
          <w:rFonts w:cs="Arial"/>
          <w:iCs/>
          <w:szCs w:val="20"/>
        </w:rPr>
        <w:t>s</w:t>
      </w:r>
      <w:r w:rsidR="006065C3">
        <w:rPr>
          <w:rFonts w:cs="Arial"/>
          <w:iCs/>
          <w:szCs w:val="20"/>
        </w:rPr>
        <w:t>oit 0,77 ou une diminution de 77</w:t>
      </w:r>
      <w:r w:rsidRPr="006743FD">
        <w:rPr>
          <w:rFonts w:cs="Arial"/>
          <w:iCs/>
          <w:szCs w:val="20"/>
        </w:rPr>
        <w:t xml:space="preserve"> %</w:t>
      </w:r>
      <w:r w:rsidR="006743FD">
        <w:rPr>
          <w:rFonts w:cs="Arial"/>
          <w:iCs/>
          <w:szCs w:val="20"/>
        </w:rPr>
        <w:t>.</w:t>
      </w:r>
    </w:p>
    <w:p w14:paraId="572262E4" w14:textId="74FB900D" w:rsidR="00D435FE" w:rsidRDefault="005936AB">
      <w:pPr>
        <w:spacing w:line="276" w:lineRule="auto"/>
        <w:jc w:val="both"/>
        <w:rPr>
          <w:rFonts w:cs="Arial"/>
          <w:iCs/>
          <w:szCs w:val="20"/>
        </w:rPr>
      </w:pPr>
      <w:r>
        <w:rPr>
          <w:rFonts w:cs="Arial"/>
          <w:iCs/>
          <w:szCs w:val="20"/>
        </w:rPr>
        <w:t>Cette démarche est alors appliquée à toutes les variables dépendantes (MES, DCO, DBO</w:t>
      </w:r>
      <w:r>
        <w:rPr>
          <w:rFonts w:cs="Arial"/>
          <w:iCs/>
          <w:szCs w:val="20"/>
          <w:vertAlign w:val="subscript"/>
        </w:rPr>
        <w:t>5</w:t>
      </w:r>
      <w:r>
        <w:rPr>
          <w:rFonts w:cs="Arial"/>
          <w:iCs/>
          <w:szCs w:val="20"/>
        </w:rPr>
        <w:t>, NK, N</w:t>
      </w:r>
      <w:r>
        <w:rPr>
          <w:rFonts w:cs="Arial"/>
          <w:iCs/>
          <w:szCs w:val="20"/>
        </w:rPr>
        <w:softHyphen/>
        <w:t>-NH</w:t>
      </w:r>
      <w:r>
        <w:rPr>
          <w:rFonts w:cs="Arial"/>
          <w:iCs/>
          <w:szCs w:val="20"/>
          <w:vertAlign w:val="subscript"/>
        </w:rPr>
        <w:t>4</w:t>
      </w:r>
      <w:r>
        <w:rPr>
          <w:rFonts w:cs="Arial"/>
          <w:iCs/>
          <w:szCs w:val="20"/>
          <w:vertAlign w:val="superscript"/>
        </w:rPr>
        <w:t>+</w:t>
      </w:r>
      <w:r>
        <w:rPr>
          <w:rFonts w:cs="Arial"/>
          <w:iCs/>
          <w:szCs w:val="20"/>
        </w:rPr>
        <w:t>, N-NO</w:t>
      </w:r>
      <w:r>
        <w:rPr>
          <w:rFonts w:cs="Arial"/>
          <w:iCs/>
          <w:szCs w:val="20"/>
          <w:vertAlign w:val="subscript"/>
        </w:rPr>
        <w:t>3</w:t>
      </w:r>
      <w:r>
        <w:rPr>
          <w:rFonts w:cs="Arial"/>
          <w:iCs/>
          <w:szCs w:val="20"/>
          <w:vertAlign w:val="superscript"/>
        </w:rPr>
        <w:t>-</w:t>
      </w:r>
      <w:r>
        <w:rPr>
          <w:rFonts w:cs="Arial"/>
          <w:iCs/>
          <w:szCs w:val="20"/>
        </w:rPr>
        <w:t xml:space="preserve">). </w:t>
      </w:r>
    </w:p>
    <w:p w14:paraId="71D22FD1" w14:textId="77777777" w:rsidR="00AA2A10" w:rsidRDefault="00AA2A10">
      <w:pPr>
        <w:spacing w:line="276" w:lineRule="auto"/>
        <w:jc w:val="both"/>
        <w:rPr>
          <w:rFonts w:cs="Arial"/>
          <w:iCs/>
          <w:szCs w:val="20"/>
        </w:rPr>
      </w:pPr>
    </w:p>
    <w:p w14:paraId="34DA07D7" w14:textId="32F8844A" w:rsidR="00AA2A10" w:rsidRPr="00AA2A10" w:rsidRDefault="00AA2A10" w:rsidP="00AA2A10">
      <w:pPr>
        <w:pStyle w:val="Titre1"/>
      </w:pPr>
      <w:bookmarkStart w:id="11" w:name="_Toc63065729"/>
      <w:r>
        <w:t xml:space="preserve">Utilisation pratique à partir d’un autre cas d’étude que le suivi </w:t>
      </w:r>
      <w:r w:rsidRPr="00AA2A10">
        <w:rPr>
          <w:i/>
        </w:rPr>
        <w:t>in situ</w:t>
      </w:r>
      <w:bookmarkEnd w:id="11"/>
    </w:p>
    <w:p w14:paraId="5D38B405" w14:textId="77777777" w:rsidR="00D435FE" w:rsidRDefault="00D435FE"/>
    <w:p w14:paraId="516642F9" w14:textId="77777777" w:rsidR="00D435FE" w:rsidRDefault="005936AB" w:rsidP="00AA2A10">
      <w:pPr>
        <w:pBdr>
          <w:top w:val="single" w:sz="4" w:space="1" w:color="auto"/>
          <w:left w:val="single" w:sz="4" w:space="4" w:color="auto"/>
          <w:bottom w:val="single" w:sz="4" w:space="1" w:color="auto"/>
          <w:right w:val="single" w:sz="4" w:space="4" w:color="auto"/>
        </w:pBdr>
        <w:jc w:val="both"/>
      </w:pPr>
      <w:bookmarkStart w:id="12" w:name="_Toc63065730"/>
      <w:r w:rsidRPr="007D5A79">
        <w:rPr>
          <w:rStyle w:val="Titre2Car"/>
        </w:rPr>
        <w:t>Script de base à utiliser</w:t>
      </w:r>
      <w:bookmarkEnd w:id="12"/>
      <w:r>
        <w:t> : le fichier R « GlnLM-EffLocDisp-DT-fctNM-01_2021 »</w:t>
      </w:r>
    </w:p>
    <w:p w14:paraId="5B2436BA" w14:textId="77777777" w:rsidR="00D435FE" w:rsidRDefault="005936AB" w:rsidP="00AA2A10">
      <w:pPr>
        <w:pBdr>
          <w:top w:val="single" w:sz="4" w:space="1" w:color="auto"/>
          <w:left w:val="single" w:sz="4" w:space="4" w:color="auto"/>
          <w:bottom w:val="single" w:sz="4" w:space="1" w:color="auto"/>
          <w:right w:val="single" w:sz="4" w:space="4" w:color="auto"/>
        </w:pBdr>
        <w:jc w:val="both"/>
      </w:pPr>
      <w:r>
        <w:t>Ce script contient le modèle ln-linéaire généralisé prenant en compte les effets sur la dispersion. La gestion des données est réalisée en DataTable et la méthode d’optimisation de Nelder-Mead est utilisée pour le modèle.</w:t>
      </w:r>
    </w:p>
    <w:p w14:paraId="17546978" w14:textId="77777777" w:rsidR="00D435FE" w:rsidRDefault="00D435FE">
      <w:pPr>
        <w:jc w:val="both"/>
      </w:pPr>
    </w:p>
    <w:p w14:paraId="1C5EE9A7" w14:textId="77777777" w:rsidR="00D435FE" w:rsidRDefault="005936AB">
      <w:pPr>
        <w:jc w:val="both"/>
      </w:pPr>
      <w:bookmarkStart w:id="13" w:name="_Toc63065731"/>
      <w:r w:rsidRPr="007D5A79">
        <w:rPr>
          <w:rStyle w:val="Titre2Car"/>
        </w:rPr>
        <w:t>Données d’entrée à fournir au script</w:t>
      </w:r>
      <w:bookmarkEnd w:id="13"/>
      <w:r>
        <w:t> : un document au format csv (séparateur : point-virgule) contenant les variables dépendantes à analyser (ex : MES, DCO, …) ainsi que les différentes variables explicatives (ex : Dispositif, Classe d’âge, …) avec les titres correspondants en tête de colonne.</w:t>
      </w:r>
    </w:p>
    <w:p w14:paraId="003662F8" w14:textId="77777777" w:rsidR="00D435FE" w:rsidRDefault="005936AB">
      <w:pPr>
        <w:jc w:val="both"/>
      </w:pPr>
      <w:r>
        <w:t>Exemple de fichier : BDD_exemple_lin-lineaire.csv</w:t>
      </w:r>
    </w:p>
    <w:p w14:paraId="417F7985" w14:textId="77777777" w:rsidR="00D435FE" w:rsidRDefault="005936AB">
      <w:pPr>
        <w:jc w:val="both"/>
      </w:pPr>
      <w:r>
        <w:t>Dans cet exemple, on s’intéresse aux données correspondant aux rejets de 3 dispositifs d’assainissement des eaux usées différents. Les variables dépendantes analysées sont les concentrations de sortie en MES, DCO, DBO</w:t>
      </w:r>
      <w:r>
        <w:rPr>
          <w:vertAlign w:val="subscript"/>
        </w:rPr>
        <w:t>5</w:t>
      </w:r>
      <w:r>
        <w:t>, NTK, N</w:t>
      </w:r>
      <w:r>
        <w:noBreakHyphen/>
        <w:t>NH</w:t>
      </w:r>
      <w:r>
        <w:rPr>
          <w:vertAlign w:val="subscript"/>
        </w:rPr>
        <w:t>4</w:t>
      </w:r>
      <w:r>
        <w:rPr>
          <w:vertAlign w:val="superscript"/>
        </w:rPr>
        <w:t>+</w:t>
      </w:r>
      <w:r>
        <w:t xml:space="preserve"> et N</w:t>
      </w:r>
      <w:r>
        <w:noBreakHyphen/>
        <w:t>NO</w:t>
      </w:r>
      <w:r>
        <w:rPr>
          <w:vertAlign w:val="subscript"/>
        </w:rPr>
        <w:t>3</w:t>
      </w:r>
      <w:r>
        <w:rPr>
          <w:vertAlign w:val="superscript"/>
        </w:rPr>
        <w:t>-</w:t>
      </w:r>
      <w:r>
        <w:t>. On cherche à étudier l’impact sur ces concentrations des variables explicatives suivantes :</w:t>
      </w:r>
    </w:p>
    <w:p w14:paraId="5265AA59" w14:textId="77777777" w:rsidR="00D435FE" w:rsidRDefault="005936AB">
      <w:pPr>
        <w:pStyle w:val="Paragraphedeliste"/>
        <w:numPr>
          <w:ilvl w:val="0"/>
          <w:numId w:val="14"/>
        </w:numPr>
        <w:jc w:val="both"/>
      </w:pPr>
      <w:r>
        <w:t>Le dispositif (D0, D1 ou D2) ;</w:t>
      </w:r>
    </w:p>
    <w:p w14:paraId="2145080D" w14:textId="77777777" w:rsidR="00D435FE" w:rsidRDefault="005936AB">
      <w:pPr>
        <w:pStyle w:val="Paragraphedeliste"/>
        <w:numPr>
          <w:ilvl w:val="0"/>
          <w:numId w:val="14"/>
        </w:numPr>
        <w:jc w:val="both"/>
      </w:pPr>
      <w:r>
        <w:t>L’âge de l’installation au moment du prélèvement (&lt; 2 ans ou &gt; 2 ans) ;</w:t>
      </w:r>
    </w:p>
    <w:p w14:paraId="2EE5F57F" w14:textId="128538E4" w:rsidR="00D435FE" w:rsidRDefault="005936AB" w:rsidP="009C1637">
      <w:pPr>
        <w:pStyle w:val="Paragraphedeliste"/>
        <w:numPr>
          <w:ilvl w:val="0"/>
          <w:numId w:val="14"/>
        </w:numPr>
        <w:jc w:val="both"/>
      </w:pPr>
      <w:r>
        <w:t>Le taux de charge de l’installation (&lt; 70 % ou &gt; 70 %).</w:t>
      </w:r>
    </w:p>
    <w:p w14:paraId="1BE43662" w14:textId="77777777" w:rsidR="009C1637" w:rsidRDefault="009C1637" w:rsidP="00084576">
      <w:pPr>
        <w:pStyle w:val="Paragraphedeliste"/>
        <w:jc w:val="both"/>
      </w:pPr>
    </w:p>
    <w:p w14:paraId="4707D1BE" w14:textId="77777777" w:rsidR="00D435FE" w:rsidRDefault="005936AB">
      <w:pPr>
        <w:jc w:val="both"/>
        <w:rPr>
          <w:b/>
        </w:rPr>
      </w:pPr>
      <w:bookmarkStart w:id="14" w:name="_Toc63065732"/>
      <w:r w:rsidRPr="007D5A79">
        <w:rPr>
          <w:rStyle w:val="Titre2Car"/>
        </w:rPr>
        <w:t>Utilisation du script</w:t>
      </w:r>
      <w:bookmarkEnd w:id="14"/>
      <w:r>
        <w:rPr>
          <w:b/>
        </w:rPr>
        <w:t> :</w:t>
      </w:r>
    </w:p>
    <w:p w14:paraId="1206403D" w14:textId="77777777" w:rsidR="00D435FE" w:rsidRDefault="005936AB">
      <w:pPr>
        <w:jc w:val="both"/>
      </w:pPr>
      <w:r>
        <w:rPr>
          <w:noProof/>
          <w:lang w:eastAsia="fr-FR"/>
        </w:rPr>
        <w:drawing>
          <wp:inline distT="0" distB="0" distL="0" distR="1270" wp14:anchorId="41D007E5" wp14:editId="64CBA8B1">
            <wp:extent cx="5866765" cy="2495550"/>
            <wp:effectExtent l="0" t="0" r="0" b="0"/>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5866765" cy="2495550"/>
                    </a:xfrm>
                    <a:prstGeom prst="rect">
                      <a:avLst/>
                    </a:prstGeom>
                  </pic:spPr>
                </pic:pic>
              </a:graphicData>
            </a:graphic>
          </wp:inline>
        </w:drawing>
      </w:r>
    </w:p>
    <w:p w14:paraId="14DB3250" w14:textId="77777777" w:rsidR="00D435FE" w:rsidRDefault="005936AB">
      <w:pPr>
        <w:jc w:val="both"/>
      </w:pPr>
      <w:r>
        <w:rPr>
          <w:u w:val="single"/>
        </w:rPr>
        <w:t>Facultatif :</w:t>
      </w:r>
      <w:r>
        <w:t xml:space="preserve"> définir un chemin vers le répertoire de travail où se trouvent les données (ligne 18 du script). Cela permet d’éviter d’avoir à renseigner à nouveau le chemin dans le cas d’usage multiple de l’outil. </w:t>
      </w:r>
    </w:p>
    <w:p w14:paraId="3825EBD9" w14:textId="270397EA" w:rsidR="00D435FE" w:rsidRDefault="005936AB">
      <w:pPr>
        <w:pBdr>
          <w:top w:val="single" w:sz="4" w:space="1" w:color="000000"/>
          <w:left w:val="single" w:sz="4" w:space="4" w:color="000000"/>
          <w:bottom w:val="single" w:sz="4" w:space="1" w:color="000000"/>
          <w:right w:val="single" w:sz="4" w:space="4" w:color="000000"/>
        </w:pBdr>
        <w:jc w:val="both"/>
        <w:rPr>
          <w:b/>
        </w:rPr>
      </w:pPr>
      <w:r>
        <w:rPr>
          <w:b/>
        </w:rPr>
        <w:t xml:space="preserve">Pour adapter le code à </w:t>
      </w:r>
      <w:r w:rsidR="00C8434F">
        <w:rPr>
          <w:b/>
        </w:rPr>
        <w:t>d’</w:t>
      </w:r>
      <w:r>
        <w:rPr>
          <w:b/>
        </w:rPr>
        <w:t>autre</w:t>
      </w:r>
      <w:r w:rsidR="00AA2A10">
        <w:rPr>
          <w:b/>
        </w:rPr>
        <w:t>s</w:t>
      </w:r>
      <w:r>
        <w:rPr>
          <w:b/>
        </w:rPr>
        <w:t xml:space="preserve"> cas d'étude, l'essentiel des modifications est à faire dans le bloc « Lecture données ». Selon les paramètres analysés, il faut penser à introduire la LQ correspondant aux conditions analytiques du paramètre. </w:t>
      </w:r>
    </w:p>
    <w:p w14:paraId="21D5B3EF" w14:textId="77777777" w:rsidR="00D435FE" w:rsidRDefault="005936AB">
      <w:pPr>
        <w:pBdr>
          <w:top w:val="single" w:sz="4" w:space="1" w:color="000000"/>
          <w:left w:val="single" w:sz="4" w:space="4" w:color="000000"/>
          <w:bottom w:val="single" w:sz="4" w:space="1" w:color="000000"/>
          <w:right w:val="single" w:sz="4" w:space="4" w:color="000000"/>
        </w:pBdr>
        <w:jc w:val="both"/>
        <w:rPr>
          <w:b/>
        </w:rPr>
      </w:pPr>
      <w:r>
        <w:rPr>
          <w:b/>
        </w:rPr>
        <w:t>Une autre modification du script consiste à éventuellement changer le quantile des résultats à afficher (voir la partie « interprétation des résultats »).</w:t>
      </w:r>
    </w:p>
    <w:p w14:paraId="1E6491F9" w14:textId="77777777" w:rsidR="00D435FE" w:rsidRDefault="005936AB">
      <w:pPr>
        <w:jc w:val="both"/>
      </w:pPr>
      <w:r>
        <w:lastRenderedPageBreak/>
        <w:t>Le code ci-dessous est un exemple visant à étudier l’effet des variables explicatives citées plus haut sur les concentrations en NTK mesurées en sortie des dispositifs étudiés.</w:t>
      </w:r>
    </w:p>
    <w:p w14:paraId="338B959A" w14:textId="3E2DD2BF" w:rsidR="00D435FE" w:rsidRPr="003F0771" w:rsidRDefault="005936AB">
      <w:pPr>
        <w:jc w:val="both"/>
        <w:rPr>
          <w:rFonts w:cs="Arial"/>
          <w:iCs/>
          <w:szCs w:val="20"/>
        </w:rPr>
      </w:pPr>
      <w:r>
        <w:rPr>
          <w:rFonts w:cs="Arial"/>
          <w:iCs/>
          <w:szCs w:val="20"/>
        </w:rPr>
        <w:t>L’utilisateur doit tout d’abord déterminer l’ensemble de référence, choisi ici (par exemple) comme correspondant à l’effectif le plus élevé observé parmi les modalités de chaque variable explicative pour le paramètre NTK. Il s’agit pour cet exemple de D0 pour le dispositif, de la classe « &gt; 2 ans » pour l’âge et de la classe « &gt; 70% » pour la charge.</w:t>
      </w:r>
    </w:p>
    <w:p w14:paraId="734B56A3" w14:textId="552527B6" w:rsidR="003F0771" w:rsidRDefault="003F0771">
      <w:pPr>
        <w:jc w:val="both"/>
      </w:pPr>
      <w:r w:rsidRPr="003F0771">
        <w:rPr>
          <w:noProof/>
          <w:lang w:eastAsia="fr-FR"/>
        </w:rPr>
        <w:drawing>
          <wp:inline distT="0" distB="0" distL="0" distR="0" wp14:anchorId="0D714BC9" wp14:editId="4C21DE03">
            <wp:extent cx="5365750" cy="4026848"/>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92638" cy="4047027"/>
                    </a:xfrm>
                    <a:prstGeom prst="rect">
                      <a:avLst/>
                    </a:prstGeom>
                  </pic:spPr>
                </pic:pic>
              </a:graphicData>
            </a:graphic>
          </wp:inline>
        </w:drawing>
      </w:r>
    </w:p>
    <w:p w14:paraId="0CF6FE27" w14:textId="77777777" w:rsidR="00D435FE" w:rsidRDefault="005936AB">
      <w:pPr>
        <w:spacing w:after="0"/>
        <w:jc w:val="both"/>
      </w:pPr>
      <w:r>
        <w:t>Le bloc « lecture des données » ci-dessus crée une DataTable appelée « don ».</w:t>
      </w:r>
    </w:p>
    <w:p w14:paraId="7A80E366" w14:textId="77777777" w:rsidR="00D435FE" w:rsidRDefault="005936AB">
      <w:pPr>
        <w:spacing w:after="0"/>
        <w:jc w:val="both"/>
      </w:pPr>
      <w:r>
        <w:t>La première étape est de récupérer le fichier contenant les données à analyser, de le lire et de le stocker dans la DataTable « don » (lignes 25 et 26).</w:t>
      </w:r>
    </w:p>
    <w:p w14:paraId="3DA0B9F7" w14:textId="77777777" w:rsidR="00D435FE" w:rsidRDefault="005936AB">
      <w:pPr>
        <w:spacing w:after="0"/>
        <w:jc w:val="both"/>
      </w:pPr>
      <w:r>
        <w:t>On crée ensuite la colonne y correspondant à la variable dépendante à étudier, ici la concentration en NTK (ligne 27).</w:t>
      </w:r>
    </w:p>
    <w:p w14:paraId="5A0B0096" w14:textId="77777777" w:rsidR="00D435FE" w:rsidRDefault="005936AB">
      <w:pPr>
        <w:spacing w:after="0"/>
        <w:jc w:val="both"/>
      </w:pPr>
      <w:r>
        <w:t>Les lignes 30 à 35 correspondent à la création des colonnes lb et ub représentant les bornes de l’intervalle censuré à gauche, intervalle compris entre 0 et la LQ correspondant à celle de la variable dépendante, en l’occurrence 1,0 mg/L pour NTK (à définir ligne 31).</w:t>
      </w:r>
    </w:p>
    <w:p w14:paraId="73225BBF" w14:textId="77777777" w:rsidR="00D435FE" w:rsidRDefault="005936AB">
      <w:pPr>
        <w:spacing w:after="0"/>
        <w:jc w:val="both"/>
      </w:pPr>
      <w:r>
        <w:t xml:space="preserve">C’est au niveau des lignes 36 à 40 dans l’exemple que l’on code en binaire les modalités des variables explicatives à étudier (hors ensemble de référence). Elles sont ensuite intégrées à la DataTable « don » en tant que nouvelles colonnes. La ligne 39 par exemple correspond à la création d’une colonne, nommée « inf2ans » par l’utilisateur, contenant la valeur « 1 » pour chaque ligne de la colonne « classe_age » du fichier csv contenant l’expression « &lt; 2 ans ». </w:t>
      </w:r>
    </w:p>
    <w:p w14:paraId="0826A5C0" w14:textId="77777777" w:rsidR="00D435FE" w:rsidRDefault="005936AB">
      <w:pPr>
        <w:spacing w:after="0"/>
        <w:jc w:val="both"/>
      </w:pPr>
      <w:r>
        <w:t xml:space="preserve">La ligne 42 « nettoie » la DataTable pour ne laisser que les colonnes y, lb, ub et celles des modalités des variables explicatives hors ensemble de référence (soit ici « D1 », « D2 », « inf2ans » et « inf70pct »). </w:t>
      </w:r>
    </w:p>
    <w:p w14:paraId="4DB177DD" w14:textId="77777777" w:rsidR="00D435FE" w:rsidRDefault="005936AB">
      <w:pPr>
        <w:spacing w:after="0"/>
        <w:jc w:val="both"/>
      </w:pPr>
      <w:r>
        <w:t xml:space="preserve">La ligne 43 supprime de plus les lignes pour lesquelles on ne dispose pas de valeur pour la variable dépendante (et contenant donc un « NA »). </w:t>
      </w:r>
    </w:p>
    <w:p w14:paraId="2C502D35" w14:textId="77777777" w:rsidR="00D435FE" w:rsidRDefault="00D435FE">
      <w:pPr>
        <w:spacing w:after="0"/>
        <w:jc w:val="both"/>
      </w:pPr>
    </w:p>
    <w:p w14:paraId="1AE30E84" w14:textId="77777777" w:rsidR="00D435FE" w:rsidRDefault="005936AB">
      <w:pPr>
        <w:spacing w:after="0"/>
        <w:jc w:val="both"/>
      </w:pPr>
      <w:r>
        <w:t>En résumé, cette partie du script crée la DataTable « don » contenant :</w:t>
      </w:r>
    </w:p>
    <w:p w14:paraId="13B0A3A4" w14:textId="77777777" w:rsidR="00D435FE" w:rsidRDefault="005936AB">
      <w:pPr>
        <w:pStyle w:val="Paragraphedeliste"/>
        <w:numPr>
          <w:ilvl w:val="0"/>
          <w:numId w:val="13"/>
        </w:numPr>
        <w:spacing w:after="0"/>
        <w:jc w:val="both"/>
      </w:pPr>
      <w:r>
        <w:t xml:space="preserve">La variable dépendante à étudier (ici NTK) en colonne y ; </w:t>
      </w:r>
    </w:p>
    <w:p w14:paraId="7A827B34" w14:textId="77777777" w:rsidR="00D435FE" w:rsidRDefault="005936AB">
      <w:pPr>
        <w:pStyle w:val="Paragraphedeliste"/>
        <w:numPr>
          <w:ilvl w:val="0"/>
          <w:numId w:val="13"/>
        </w:numPr>
        <w:spacing w:after="0"/>
        <w:jc w:val="both"/>
      </w:pPr>
      <w:r>
        <w:t>La borne inférieure de l’intervalle des données censurées en colonne lb ;</w:t>
      </w:r>
    </w:p>
    <w:p w14:paraId="7ABD75AB" w14:textId="77777777" w:rsidR="00D435FE" w:rsidRDefault="005936AB">
      <w:pPr>
        <w:pStyle w:val="Paragraphedeliste"/>
        <w:numPr>
          <w:ilvl w:val="0"/>
          <w:numId w:val="13"/>
        </w:numPr>
        <w:jc w:val="both"/>
      </w:pPr>
      <w:r>
        <w:t>La borne supérieure de l’intervalle des données censurées en colonne ub ;</w:t>
      </w:r>
    </w:p>
    <w:p w14:paraId="51582405" w14:textId="19FBA48C" w:rsidR="00D435FE" w:rsidRDefault="005936AB">
      <w:pPr>
        <w:pStyle w:val="Paragraphedeliste"/>
        <w:numPr>
          <w:ilvl w:val="0"/>
          <w:numId w:val="13"/>
        </w:numPr>
        <w:jc w:val="both"/>
      </w:pPr>
      <w:r>
        <w:t>Et enfin les différentes modalités des variables explicatives à étudier, à l’exception de celles prises en référence</w:t>
      </w:r>
      <w:r w:rsidR="006743FD">
        <w:rPr>
          <w:highlight w:val="yellow"/>
        </w:rPr>
        <w:t xml:space="preserve"> </w:t>
      </w:r>
      <w:r>
        <w:t>(soit ici les dispositifs D1 et D2, la classe d’âge « &lt; 2 ans » et la classe de taux de charge « &lt; 70 % »). Ces modalités sont codées en binaire suivant le principe présenté dans le tableau 1.</w:t>
      </w:r>
    </w:p>
    <w:p w14:paraId="3D6ABA3E" w14:textId="77777777" w:rsidR="00D435FE" w:rsidRDefault="005936AB">
      <w:pPr>
        <w:jc w:val="both"/>
      </w:pPr>
      <w:r>
        <w:lastRenderedPageBreak/>
        <w:t>Pour mieux visualiser le résultat, voici un extrait de la DataTable « don » passé ces étapes :</w:t>
      </w:r>
    </w:p>
    <w:p w14:paraId="4277C1FA" w14:textId="77777777" w:rsidR="00D435FE" w:rsidRDefault="005936AB">
      <w:pPr>
        <w:jc w:val="both"/>
        <w:rPr>
          <w:b/>
        </w:rPr>
      </w:pPr>
      <w:r>
        <w:rPr>
          <w:noProof/>
          <w:lang w:eastAsia="fr-FR"/>
        </w:rPr>
        <w:drawing>
          <wp:inline distT="0" distB="2540" distL="0" distR="0" wp14:anchorId="11E645BE" wp14:editId="4A0E436B">
            <wp:extent cx="3524250" cy="5502910"/>
            <wp:effectExtent l="0" t="0" r="0" b="0"/>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pic:cNvPicPr>
                      <a:picLocks noChangeAspect="1" noChangeArrowheads="1"/>
                    </pic:cNvPicPr>
                  </pic:nvPicPr>
                  <pic:blipFill>
                    <a:blip r:embed="rId11"/>
                    <a:stretch>
                      <a:fillRect/>
                    </a:stretch>
                  </pic:blipFill>
                  <pic:spPr bwMode="auto">
                    <a:xfrm>
                      <a:off x="0" y="0"/>
                      <a:ext cx="3524250" cy="5502910"/>
                    </a:xfrm>
                    <a:prstGeom prst="rect">
                      <a:avLst/>
                    </a:prstGeom>
                  </pic:spPr>
                </pic:pic>
              </a:graphicData>
            </a:graphic>
          </wp:inline>
        </w:drawing>
      </w:r>
    </w:p>
    <w:p w14:paraId="07596B6A" w14:textId="77777777" w:rsidR="00D435FE" w:rsidRDefault="00D435FE">
      <w:pPr>
        <w:spacing w:after="0"/>
        <w:jc w:val="both"/>
      </w:pPr>
    </w:p>
    <w:p w14:paraId="0C7A81F3" w14:textId="77777777" w:rsidR="00D435FE" w:rsidRDefault="005936AB">
      <w:pPr>
        <w:jc w:val="both"/>
      </w:pPr>
      <w:r>
        <w:t xml:space="preserve">L’outil crée également les vecteurs zm et zd contenant la liste des modalités des variables explicatives à prendre en compte pour l’établissement du modèle, en distinguant celles considérées pour la médiane dans le vecteur zm, et celles considérées pour la dispersion dans le vecteur zd (lignes 44 et 48). </w:t>
      </w:r>
    </w:p>
    <w:p w14:paraId="3390A343" w14:textId="3D4B5C05" w:rsidR="006E3459" w:rsidRDefault="005936AB">
      <w:pPr>
        <w:jc w:val="both"/>
      </w:pPr>
      <w:r>
        <w:t>Les vecteurs zm et zd contiennent au début toutes les modalités des variables explicatives à comparer à l’ensemble de référence. Au fur et à mesure des tests, les modalités avec des effets non significatifs sont progressivement enlevées de ces vecteurs pour qu’ils ne contiennent plus que celles présentant des effets significatifs sur la médiane ou la dispersion. Enlever une modalité de ces vecteurs revient à l’</w:t>
      </w:r>
      <w:r w:rsidRPr="006743FD">
        <w:t xml:space="preserve">agréger </w:t>
      </w:r>
      <w:r>
        <w:t>à la référence.</w:t>
      </w:r>
    </w:p>
    <w:p w14:paraId="0F1602F6" w14:textId="77777777" w:rsidR="000A5725" w:rsidRPr="000A5725" w:rsidRDefault="000A5725">
      <w:pPr>
        <w:jc w:val="both"/>
      </w:pPr>
    </w:p>
    <w:p w14:paraId="43F201D1" w14:textId="7F3F1EE1" w:rsidR="00D435FE" w:rsidRDefault="005936AB">
      <w:pPr>
        <w:jc w:val="both"/>
        <w:rPr>
          <w:b/>
        </w:rPr>
      </w:pPr>
      <w:r>
        <w:rPr>
          <w:b/>
        </w:rPr>
        <w:t>1</w:t>
      </w:r>
      <w:r>
        <w:rPr>
          <w:b/>
          <w:vertAlign w:val="superscript"/>
        </w:rPr>
        <w:t>er</w:t>
      </w:r>
      <w:r>
        <w:rPr>
          <w:b/>
        </w:rPr>
        <w:t xml:space="preserve"> test :</w:t>
      </w:r>
    </w:p>
    <w:p w14:paraId="363C979A" w14:textId="77777777" w:rsidR="00D435FE" w:rsidRDefault="005936AB">
      <w:pPr>
        <w:jc w:val="both"/>
      </w:pPr>
      <w:r>
        <w:t xml:space="preserve">Le code tel que présenté plus haut est lancé et fournit les résultats suivants : </w:t>
      </w:r>
    </w:p>
    <w:p w14:paraId="4D90BF45" w14:textId="77777777" w:rsidR="00D435FE" w:rsidRDefault="00D435FE">
      <w:pPr>
        <w:shd w:val="clear" w:color="auto" w:fill="FFFFFF"/>
        <w:spacing w:after="0" w:line="240" w:lineRule="auto"/>
        <w:rPr>
          <w:rFonts w:ascii="Lucida Console" w:eastAsia="Times New Roman" w:hAnsi="Lucida Console" w:cs="Times New Roman"/>
          <w:color w:val="000000"/>
          <w:sz w:val="20"/>
          <w:szCs w:val="20"/>
          <w:lang w:eastAsia="fr-FR"/>
        </w:rPr>
      </w:pPr>
    </w:p>
    <w:p w14:paraId="4506891E"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Pr>
          <w:rFonts w:ascii="Lucida Console" w:eastAsia="Times New Roman" w:hAnsi="Lucida Console" w:cs="Courier New"/>
          <w:color w:val="000000"/>
          <w:sz w:val="20"/>
          <w:szCs w:val="20"/>
          <w:lang w:val="en-GB" w:eastAsia="fr-FR"/>
        </w:rPr>
        <w:t xml:space="preserve">Dependent variable :  NTK </w:t>
      </w:r>
    </w:p>
    <w:p w14:paraId="26C70F94"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Pr>
          <w:rFonts w:ascii="Lucida Console" w:eastAsia="Times New Roman" w:hAnsi="Lucida Console" w:cs="Courier New"/>
          <w:color w:val="000000"/>
          <w:sz w:val="20"/>
          <w:szCs w:val="20"/>
          <w:lang w:val="en-GB" w:eastAsia="fr-FR"/>
        </w:rPr>
        <w:t xml:space="preserve">Label                 Estimate      Std. Dev.    Ref           Chi2  DF       Pval </w:t>
      </w:r>
    </w:p>
    <w:p w14:paraId="3DAD65C6"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Pr>
          <w:rFonts w:ascii="Lucida Console" w:eastAsia="Times New Roman" w:hAnsi="Lucida Console" w:cs="Courier New"/>
          <w:color w:val="000000"/>
          <w:sz w:val="20"/>
          <w:szCs w:val="20"/>
          <w:lang w:val="en-GB" w:eastAsia="fr-FR"/>
        </w:rPr>
        <w:t xml:space="preserve">beta0               1.6221e+00     2.2711e-01      0     5.1017e+01   1     0.0000 </w:t>
      </w:r>
    </w:p>
    <w:p w14:paraId="402641EF"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D1                  1.9404e+00     3.0811e-01      0     3.9662e+01   1     </w:t>
      </w:r>
      <w:r>
        <w:rPr>
          <w:rFonts w:ascii="Lucida Console" w:eastAsia="Times New Roman" w:hAnsi="Lucida Console" w:cs="Courier New"/>
          <w:color w:val="000000"/>
          <w:sz w:val="20"/>
          <w:szCs w:val="20"/>
          <w:highlight w:val="yellow"/>
          <w:lang w:eastAsia="fr-FR"/>
        </w:rPr>
        <w:t>0.0000</w:t>
      </w:r>
      <w:r>
        <w:rPr>
          <w:rFonts w:ascii="Lucida Console" w:eastAsia="Times New Roman" w:hAnsi="Lucida Console" w:cs="Courier New"/>
          <w:color w:val="000000"/>
          <w:sz w:val="20"/>
          <w:szCs w:val="20"/>
          <w:lang w:eastAsia="fr-FR"/>
        </w:rPr>
        <w:t xml:space="preserve"> </w:t>
      </w:r>
    </w:p>
    <w:p w14:paraId="16BC41F9"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D2                  1.3927e+00     3.1602e-01      0     1.9422e+01   1     </w:t>
      </w:r>
      <w:r>
        <w:rPr>
          <w:rFonts w:ascii="Lucida Console" w:eastAsia="Times New Roman" w:hAnsi="Lucida Console" w:cs="Courier New"/>
          <w:color w:val="000000"/>
          <w:sz w:val="20"/>
          <w:szCs w:val="20"/>
          <w:highlight w:val="yellow"/>
          <w:lang w:eastAsia="fr-FR"/>
        </w:rPr>
        <w:t>0.0000</w:t>
      </w:r>
      <w:r>
        <w:rPr>
          <w:rFonts w:ascii="Lucida Console" w:eastAsia="Times New Roman" w:hAnsi="Lucida Console" w:cs="Courier New"/>
          <w:color w:val="000000"/>
          <w:sz w:val="20"/>
          <w:szCs w:val="20"/>
          <w:lang w:eastAsia="fr-FR"/>
        </w:rPr>
        <w:t xml:space="preserve"> </w:t>
      </w:r>
    </w:p>
    <w:p w14:paraId="4F3BA042"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inf2ans            -2.0789e-01     2.6726e-01      0     6.0508e-01   1     0.4366 </w:t>
      </w:r>
    </w:p>
    <w:p w14:paraId="3D7FE3A9"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inf70pct           -1.1105e-01     2.6124e-01      0     1.8068e-01   1     0.6708 </w:t>
      </w:r>
    </w:p>
    <w:p w14:paraId="6E4DA282"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gamma0              3.8101e-01     1.4172e-01      0     7.2276e+00   1     0.0072 </w:t>
      </w:r>
    </w:p>
    <w:p w14:paraId="33604672"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D1                 -6.7107e-01     2.9328e-01      0     5.2357e+00   1     0.0221 </w:t>
      </w:r>
    </w:p>
    <w:p w14:paraId="0F7B4893"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lastRenderedPageBreak/>
        <w:t xml:space="preserve">D2                 -2.0959e-01     2.1933e-01      0     9.1317e-01   1     0.3393 </w:t>
      </w:r>
    </w:p>
    <w:p w14:paraId="079BFBFC"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inf2ans             6.8346e-03     2.5838e-01      0     6.9968e-04   1     0.9789 </w:t>
      </w:r>
    </w:p>
    <w:p w14:paraId="061E9817"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inf70pct           -2.5642e-01     2.0406e-01      0     1.5790e+00   1     0.2089 </w:t>
      </w:r>
    </w:p>
    <w:p w14:paraId="5EBD5DE8" w14:textId="77777777" w:rsidR="00D435FE" w:rsidRDefault="00D435FE">
      <w:pPr>
        <w:jc w:val="both"/>
      </w:pPr>
    </w:p>
    <w:p w14:paraId="21C865EC" w14:textId="77777777" w:rsidR="00D435FE" w:rsidRDefault="005936AB">
      <w:pPr>
        <w:jc w:val="both"/>
      </w:pPr>
      <w:r>
        <w:t xml:space="preserve">Ce tableau fournit les coefficients estimés par le modèle dans la colonne « Estimate », soit premièrement les coefficients </w:t>
      </w:r>
      <w:r>
        <w:rPr>
          <w:rFonts w:cs="Arial"/>
          <w:iCs/>
          <w:szCs w:val="20"/>
        </w:rPr>
        <w:t>(β</w:t>
      </w:r>
      <w:r>
        <w:rPr>
          <w:rFonts w:cs="Arial"/>
          <w:iCs/>
          <w:szCs w:val="20"/>
          <w:vertAlign w:val="subscript"/>
        </w:rPr>
        <w:t>1</w:t>
      </w:r>
      <w:r>
        <w:rPr>
          <w:rFonts w:cs="Arial"/>
          <w:iCs/>
          <w:szCs w:val="20"/>
        </w:rPr>
        <w:t>, β</w:t>
      </w:r>
      <w:r>
        <w:rPr>
          <w:rFonts w:cs="Arial"/>
          <w:iCs/>
          <w:szCs w:val="20"/>
          <w:vertAlign w:val="subscript"/>
        </w:rPr>
        <w:t>2</w:t>
      </w:r>
      <w:r>
        <w:rPr>
          <w:rFonts w:cs="Arial"/>
          <w:iCs/>
          <w:szCs w:val="20"/>
        </w:rPr>
        <w:t xml:space="preserve">, </w:t>
      </w:r>
      <w:r>
        <w:rPr>
          <w:rFonts w:cstheme="minorHAnsi"/>
          <w:iCs/>
          <w:szCs w:val="20"/>
        </w:rPr>
        <w:t>…) correspondant aux effets des variables explicatives sur la médiane de la variable dépendante, puis</w:t>
      </w:r>
      <w:r>
        <w:rPr>
          <w:rFonts w:cstheme="minorHAnsi"/>
          <w:szCs w:val="20"/>
        </w:rPr>
        <w:t xml:space="preserve"> les coefficients (</w:t>
      </w:r>
      <w:r>
        <w:rPr>
          <w:rFonts w:ascii="Cambria Math" w:hAnsi="Cambria Math" w:cs="Cambria Math"/>
          <w:szCs w:val="20"/>
        </w:rPr>
        <w:t>𝛾</w:t>
      </w:r>
      <w:r>
        <w:rPr>
          <w:rFonts w:cstheme="minorHAnsi"/>
          <w:szCs w:val="20"/>
          <w:vertAlign w:val="subscript"/>
        </w:rPr>
        <w:t>1</w:t>
      </w:r>
      <w:r>
        <w:rPr>
          <w:rFonts w:cstheme="minorHAnsi"/>
          <w:szCs w:val="20"/>
        </w:rPr>
        <w:t xml:space="preserve">, </w:t>
      </w:r>
      <w:r>
        <w:rPr>
          <w:rFonts w:ascii="Cambria Math" w:hAnsi="Cambria Math" w:cs="Cambria Math"/>
          <w:szCs w:val="20"/>
        </w:rPr>
        <w:t>𝛾</w:t>
      </w:r>
      <w:r>
        <w:rPr>
          <w:rFonts w:cstheme="minorHAnsi"/>
          <w:szCs w:val="20"/>
          <w:vertAlign w:val="subscript"/>
        </w:rPr>
        <w:t>2</w:t>
      </w:r>
      <w:r>
        <w:rPr>
          <w:rFonts w:cstheme="minorHAnsi"/>
          <w:szCs w:val="20"/>
        </w:rPr>
        <w:t xml:space="preserve">, …) </w:t>
      </w:r>
      <w:r>
        <w:rPr>
          <w:rFonts w:cstheme="minorHAnsi"/>
          <w:iCs/>
          <w:szCs w:val="20"/>
        </w:rPr>
        <w:t>correspondant aux effets des variables explicatives sur la dispersion :</w:t>
      </w:r>
    </w:p>
    <w:p w14:paraId="1FFAE401" w14:textId="77777777" w:rsidR="00D435FE" w:rsidRDefault="005936AB">
      <w:pPr>
        <w:pStyle w:val="Paragraphedeliste"/>
        <w:numPr>
          <w:ilvl w:val="0"/>
          <w:numId w:val="13"/>
        </w:numPr>
        <w:jc w:val="both"/>
      </w:pPr>
      <w:r>
        <w:t>La ligne beta0 correspond à la référence pour la médiane. Les lignes en-dessous correspondent aux différentes modalités des variables explicatives testées sur la médiane par rapport à la référence.</w:t>
      </w:r>
    </w:p>
    <w:p w14:paraId="7709C8F6" w14:textId="77777777" w:rsidR="00D435FE" w:rsidRDefault="005936AB">
      <w:pPr>
        <w:pStyle w:val="Paragraphedeliste"/>
        <w:numPr>
          <w:ilvl w:val="0"/>
          <w:numId w:val="13"/>
        </w:numPr>
        <w:jc w:val="both"/>
      </w:pPr>
      <w:r>
        <w:t>De la même manière, la ligne gamma0 correspond à la référence pour la dispersion et les lignes en-dessous aux modalités des variables explicatives testées sur la dispersion par rapport à la référence.</w:t>
      </w:r>
    </w:p>
    <w:p w14:paraId="4D6F73F6" w14:textId="77777777" w:rsidR="00D435FE" w:rsidRDefault="005936AB">
      <w:pPr>
        <w:jc w:val="both"/>
      </w:pPr>
      <w:r>
        <w:t xml:space="preserve">On regarde alors au niveau de la colonne des p-value pour identifier les effets significatifs. Dans le suivi </w:t>
      </w:r>
      <w:r>
        <w:rPr>
          <w:i/>
        </w:rPr>
        <w:t>in situ</w:t>
      </w:r>
      <w:r>
        <w:t>, le seuil de significativité α était fixé à 0,1%. En conservant cette valeur, on obtient ici un effet significatif des deux modalités « D1 » et « D2 » sur la médiane (surlignées en jaune ci-dessus).</w:t>
      </w:r>
    </w:p>
    <w:p w14:paraId="47C0821A" w14:textId="77777777" w:rsidR="00D435FE" w:rsidRDefault="005936AB">
      <w:pPr>
        <w:pBdr>
          <w:top w:val="single" w:sz="4" w:space="1" w:color="000000"/>
          <w:left w:val="single" w:sz="4" w:space="4" w:color="000000"/>
          <w:bottom w:val="single" w:sz="4" w:space="1" w:color="000000"/>
          <w:right w:val="single" w:sz="4" w:space="4" w:color="000000"/>
        </w:pBdr>
        <w:jc w:val="both"/>
      </w:pPr>
      <w:r>
        <w:t xml:space="preserve">Il est conseillé ensuite de retirer les effets non significatifs un par un par ordre de p-value décroissante (il faudrait commencer ici par enlever « inf2ans » sur la dispersion), en les intégrant dans la référence (c’est-à-dire en pratique en les enlevant des vecteurs zm ou zd) et en relaçant le code. </w:t>
      </w:r>
      <w:r>
        <w:rPr>
          <w:b/>
        </w:rPr>
        <w:t>Il est important de ne pas modifier le tableau « don », sinon les modèles successifs ne seront plus comparables s’ils ne concernent plus les mêmes échantillons</w:t>
      </w:r>
      <w:r>
        <w:t>.</w:t>
      </w:r>
      <w:r>
        <w:rPr>
          <w:rStyle w:val="Titre1Car"/>
        </w:rPr>
        <w:t xml:space="preserve"> </w:t>
      </w:r>
      <w:r>
        <w:t>Il se peut que, pas à pas, tous les effets disparaissent, ne laissant que les intercepts beta0 et gamma0.</w:t>
      </w:r>
    </w:p>
    <w:p w14:paraId="3405A2C4" w14:textId="1880681C" w:rsidR="000A5725" w:rsidRDefault="005936AB">
      <w:pPr>
        <w:jc w:val="both"/>
      </w:pPr>
      <w:r>
        <w:t>Les tests s’arrêtent quand il ne reste dans les vecteurs zm et zd que des variables avec des effets significatifs, ou quand ces deux vecteurs sont vides.</w:t>
      </w:r>
    </w:p>
    <w:p w14:paraId="61FD47CD" w14:textId="77777777" w:rsidR="00D435FE" w:rsidRDefault="005936AB">
      <w:pPr>
        <w:jc w:val="both"/>
        <w:rPr>
          <w:b/>
        </w:rPr>
      </w:pPr>
      <w:r>
        <w:rPr>
          <w:b/>
        </w:rPr>
        <w:t>Dernier test :</w:t>
      </w:r>
    </w:p>
    <w:p w14:paraId="4CB8652E" w14:textId="77777777" w:rsidR="00D435FE" w:rsidRDefault="005936AB">
      <w:pPr>
        <w:jc w:val="both"/>
      </w:pPr>
      <w:r>
        <w:t>Avec cet exemple, après avoir enlevé un à un les effets non significatifs, on obtient les résultats suivants :</w:t>
      </w:r>
    </w:p>
    <w:p w14:paraId="590E6A27"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Pr>
          <w:rFonts w:ascii="Lucida Console" w:eastAsia="Times New Roman" w:hAnsi="Lucida Console" w:cs="Courier New"/>
          <w:color w:val="000000"/>
          <w:sz w:val="20"/>
          <w:szCs w:val="20"/>
          <w:lang w:val="en-GB" w:eastAsia="fr-FR"/>
        </w:rPr>
        <w:t xml:space="preserve">Dependent variable :  NTK </w:t>
      </w:r>
    </w:p>
    <w:p w14:paraId="190B4F35"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Pr>
          <w:rFonts w:ascii="Lucida Console" w:eastAsia="Times New Roman" w:hAnsi="Lucida Console" w:cs="Courier New"/>
          <w:color w:val="000000"/>
          <w:sz w:val="20"/>
          <w:szCs w:val="20"/>
          <w:lang w:val="en-GB" w:eastAsia="fr-FR"/>
        </w:rPr>
        <w:t xml:space="preserve">Label                 Estimate      Std. Dev.    Ref           Chi2  DF       Pval </w:t>
      </w:r>
    </w:p>
    <w:p w14:paraId="61EA7374"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Pr>
          <w:rFonts w:ascii="Lucida Console" w:eastAsia="Times New Roman" w:hAnsi="Lucida Console" w:cs="Courier New"/>
          <w:color w:val="000000"/>
          <w:sz w:val="20"/>
          <w:szCs w:val="20"/>
          <w:lang w:val="en-GB" w:eastAsia="fr-FR"/>
        </w:rPr>
        <w:t xml:space="preserve">beta0               1.6219e+00     1.6698e-01      0     9.4352e+01   1     0.0000 </w:t>
      </w:r>
    </w:p>
    <w:p w14:paraId="7A5C02C0"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D1                  1.6938e+00     3.2286e-01      0     2.7523e+01   1     </w:t>
      </w:r>
      <w:r>
        <w:rPr>
          <w:rFonts w:ascii="Lucida Console" w:eastAsia="Times New Roman" w:hAnsi="Lucida Console" w:cs="Courier New"/>
          <w:color w:val="000000"/>
          <w:sz w:val="20"/>
          <w:szCs w:val="20"/>
          <w:highlight w:val="yellow"/>
          <w:lang w:eastAsia="fr-FR"/>
        </w:rPr>
        <w:t xml:space="preserve">0.0000 </w:t>
      </w:r>
    </w:p>
    <w:p w14:paraId="36E2893F"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D2                  1.3215e+00     2.9949e-01      0     1.9470e+01   1     </w:t>
      </w:r>
      <w:r>
        <w:rPr>
          <w:rFonts w:ascii="Lucida Console" w:eastAsia="Times New Roman" w:hAnsi="Lucida Console" w:cs="Courier New"/>
          <w:color w:val="000000"/>
          <w:sz w:val="20"/>
          <w:szCs w:val="20"/>
          <w:highlight w:val="yellow"/>
          <w:lang w:eastAsia="fr-FR"/>
        </w:rPr>
        <w:t xml:space="preserve">0.0000 </w:t>
      </w:r>
    </w:p>
    <w:p w14:paraId="2BB7F55A"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gamma0              1.3044e-01     8.2280e-02      0     2.5134e+00   1     0.1129 </w:t>
      </w:r>
    </w:p>
    <w:p w14:paraId="4B4C51C4" w14:textId="77777777" w:rsidR="00D435FE" w:rsidRDefault="00D43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p>
    <w:p w14:paraId="49E99E66" w14:textId="77777777" w:rsidR="00D435FE" w:rsidRDefault="00D43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p>
    <w:p w14:paraId="226E92DC" w14:textId="77777777" w:rsidR="00D435FE" w:rsidRDefault="005936AB">
      <w:pPr>
        <w:jc w:val="both"/>
      </w:pPr>
      <w:r>
        <w:t>Il ne reste plus que les modalités « D1 » et « D2 » identifiées comme ayant un effet significatif sur la médiane pour le paramètre NTK (p-value &lt; 0,1%, surlignées en jaune ci-dessus). L’outil conclue donc que le dispositif D0 n’est ni semblable au dispositif D1, ni semblable au dispositif D2.</w:t>
      </w:r>
    </w:p>
    <w:p w14:paraId="0704D9AB" w14:textId="492FDEB4" w:rsidR="00D435FE" w:rsidRDefault="005936AB">
      <w:pPr>
        <w:jc w:val="both"/>
      </w:pPr>
      <w:r>
        <w:t>Il est à noter que ce test effectue des comparaisons uniquement vis-à-vis de la référence D0 et ne compare pas les modalités D1 et D2 entre elles. Pour répondre à cette question, une possibilité est de modifier la référence, en remplaçant D0 par D1 (ou D2), et de relancer le modèle.</w:t>
      </w:r>
      <w:r w:rsidR="00096216">
        <w:t xml:space="preserve"> On obtient alors les résultats ci-dessous :</w:t>
      </w:r>
    </w:p>
    <w:p w14:paraId="4891DD9F" w14:textId="46BEEE18" w:rsidR="00A34B38" w:rsidRPr="00A34B38" w:rsidRDefault="00A34B38">
      <w:pPr>
        <w:jc w:val="both"/>
        <w:rPr>
          <w:b/>
        </w:rPr>
      </w:pPr>
      <w:r w:rsidRPr="00A34B38">
        <w:rPr>
          <w:b/>
        </w:rPr>
        <w:t>Av</w:t>
      </w:r>
      <w:r w:rsidR="009C4DB4">
        <w:rPr>
          <w:b/>
        </w:rPr>
        <w:t>ant-</w:t>
      </w:r>
      <w:r w:rsidRPr="00A34B38">
        <w:rPr>
          <w:b/>
        </w:rPr>
        <w:t>dernier test</w:t>
      </w:r>
      <w:r>
        <w:rPr>
          <w:b/>
        </w:rPr>
        <w:t> :</w:t>
      </w:r>
    </w:p>
    <w:p w14:paraId="24AD7B0B" w14:textId="77777777" w:rsidR="00D435FE" w:rsidRPr="004255C4"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sidRPr="004255C4">
        <w:rPr>
          <w:rFonts w:ascii="Lucida Console" w:eastAsia="Times New Roman" w:hAnsi="Lucida Console" w:cs="Courier New"/>
          <w:color w:val="000000"/>
          <w:sz w:val="20"/>
          <w:szCs w:val="20"/>
          <w:lang w:val="en-GB" w:eastAsia="fr-FR"/>
        </w:rPr>
        <w:t xml:space="preserve">Dependent variable :  NTK </w:t>
      </w:r>
    </w:p>
    <w:p w14:paraId="2E5618BC"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Pr>
          <w:rFonts w:ascii="Lucida Console" w:eastAsia="Times New Roman" w:hAnsi="Lucida Console" w:cs="Courier New"/>
          <w:color w:val="000000"/>
          <w:sz w:val="20"/>
          <w:szCs w:val="20"/>
          <w:lang w:val="en-GB" w:eastAsia="fr-FR"/>
        </w:rPr>
        <w:t xml:space="preserve">Label                 Estimate      Std. Dev.    Ref           Chi2  DF       Pval </w:t>
      </w:r>
    </w:p>
    <w:p w14:paraId="37FF9F91"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Pr>
          <w:rFonts w:ascii="Lucida Console" w:eastAsia="Times New Roman" w:hAnsi="Lucida Console" w:cs="Courier New"/>
          <w:color w:val="000000"/>
          <w:sz w:val="20"/>
          <w:szCs w:val="20"/>
          <w:lang w:val="en-GB" w:eastAsia="fr-FR"/>
        </w:rPr>
        <w:t xml:space="preserve">beta0               3.3153e+00     2.7635e-01      0     1.4393e+02   1     0.0000 </w:t>
      </w:r>
    </w:p>
    <w:p w14:paraId="64994B26"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D0                 -1.6939e+00     3.2288e-01      0     2.7521e+01   1     </w:t>
      </w:r>
      <w:r>
        <w:rPr>
          <w:rFonts w:ascii="Lucida Console" w:eastAsia="Times New Roman" w:hAnsi="Lucida Console" w:cs="Courier New"/>
          <w:color w:val="000000"/>
          <w:sz w:val="20"/>
          <w:szCs w:val="20"/>
          <w:highlight w:val="yellow"/>
          <w:lang w:eastAsia="fr-FR"/>
        </w:rPr>
        <w:t>0.0000</w:t>
      </w:r>
      <w:r>
        <w:rPr>
          <w:rFonts w:ascii="Lucida Console" w:eastAsia="Times New Roman" w:hAnsi="Lucida Console" w:cs="Courier New"/>
          <w:color w:val="000000"/>
          <w:sz w:val="20"/>
          <w:szCs w:val="20"/>
          <w:lang w:eastAsia="fr-FR"/>
        </w:rPr>
        <w:t xml:space="preserve"> </w:t>
      </w:r>
    </w:p>
    <w:p w14:paraId="67E4E9F6"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D2                 -3.7148e-01     3.7174e-01      0     9.9859e-01   1     </w:t>
      </w:r>
      <w:r>
        <w:rPr>
          <w:rFonts w:ascii="Lucida Console" w:eastAsia="Times New Roman" w:hAnsi="Lucida Console" w:cs="Courier New"/>
          <w:b/>
          <w:color w:val="FF0000"/>
          <w:sz w:val="20"/>
          <w:szCs w:val="20"/>
          <w:lang w:eastAsia="fr-FR"/>
        </w:rPr>
        <w:t>0.3177</w:t>
      </w:r>
      <w:r>
        <w:rPr>
          <w:rFonts w:ascii="Lucida Console" w:eastAsia="Times New Roman" w:hAnsi="Lucida Console" w:cs="Courier New"/>
          <w:color w:val="FF0000"/>
          <w:sz w:val="20"/>
          <w:szCs w:val="20"/>
          <w:lang w:eastAsia="fr-FR"/>
        </w:rPr>
        <w:t xml:space="preserve"> </w:t>
      </w:r>
    </w:p>
    <w:p w14:paraId="53F0778E" w14:textId="037A95AA"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gamma0              1.3051e-01     8.2286e-02      0     2.5156e+00   1     0.1127</w:t>
      </w:r>
    </w:p>
    <w:p w14:paraId="10CC48EB" w14:textId="02D858FC" w:rsidR="00A34B38" w:rsidRDefault="00A34B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p>
    <w:p w14:paraId="07D60F1E" w14:textId="77777777" w:rsidR="00A34B38" w:rsidRDefault="00A34B38" w:rsidP="00A34B38">
      <w:pPr>
        <w:jc w:val="both"/>
        <w:rPr>
          <w:b/>
        </w:rPr>
      </w:pPr>
    </w:p>
    <w:p w14:paraId="40DA6E93" w14:textId="47FF9BA2" w:rsidR="00A34B38" w:rsidRPr="00A34B38" w:rsidRDefault="00A34B38" w:rsidP="00A34B38">
      <w:pPr>
        <w:jc w:val="both"/>
        <w:rPr>
          <w:b/>
        </w:rPr>
      </w:pPr>
      <w:r>
        <w:rPr>
          <w:b/>
        </w:rPr>
        <w:t>D</w:t>
      </w:r>
      <w:r w:rsidRPr="00A34B38">
        <w:rPr>
          <w:b/>
        </w:rPr>
        <w:t>ernier test</w:t>
      </w:r>
      <w:r>
        <w:rPr>
          <w:b/>
        </w:rPr>
        <w:t> :</w:t>
      </w:r>
    </w:p>
    <w:p w14:paraId="337CA85B" w14:textId="77777777" w:rsidR="00A34B38" w:rsidRPr="00A34B38" w:rsidRDefault="00A34B38" w:rsidP="00A34B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sidRPr="00A34B38">
        <w:rPr>
          <w:rFonts w:ascii="Lucida Console" w:eastAsia="Times New Roman" w:hAnsi="Lucida Console" w:cs="Courier New"/>
          <w:color w:val="000000"/>
          <w:sz w:val="20"/>
          <w:szCs w:val="20"/>
          <w:lang w:val="en-GB" w:eastAsia="fr-FR"/>
        </w:rPr>
        <w:t xml:space="preserve">Dependent variable :  NTK </w:t>
      </w:r>
    </w:p>
    <w:p w14:paraId="50536B92" w14:textId="77777777" w:rsidR="00A34B38" w:rsidRPr="00A34B38" w:rsidRDefault="00A34B38" w:rsidP="00A34B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sidRPr="00A34B38">
        <w:rPr>
          <w:rFonts w:ascii="Lucida Console" w:eastAsia="Times New Roman" w:hAnsi="Lucida Console" w:cs="Courier New"/>
          <w:color w:val="000000"/>
          <w:sz w:val="20"/>
          <w:szCs w:val="20"/>
          <w:lang w:val="en-GB" w:eastAsia="fr-FR"/>
        </w:rPr>
        <w:t xml:space="preserve">Label                 Estimate      Std. Dev.    Ref           Chi2  DF       Pval </w:t>
      </w:r>
    </w:p>
    <w:p w14:paraId="2B52A8F1" w14:textId="77777777" w:rsidR="00A34B38" w:rsidRPr="00A34B38" w:rsidRDefault="00A34B38" w:rsidP="00A34B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sidRPr="00A34B38">
        <w:rPr>
          <w:rFonts w:ascii="Lucida Console" w:eastAsia="Times New Roman" w:hAnsi="Lucida Console" w:cs="Courier New"/>
          <w:color w:val="000000"/>
          <w:sz w:val="20"/>
          <w:szCs w:val="20"/>
          <w:lang w:val="en-GB" w:eastAsia="fr-FR"/>
        </w:rPr>
        <w:t xml:space="preserve">beta0               3.1101e+00     1.8608e-01      0     2.7934e+02   1     0.0000 </w:t>
      </w:r>
    </w:p>
    <w:p w14:paraId="1D27E46B" w14:textId="77777777" w:rsidR="00A34B38" w:rsidRPr="00A34B38" w:rsidRDefault="00A34B38" w:rsidP="00A34B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sidRPr="00A34B38">
        <w:rPr>
          <w:rFonts w:ascii="Lucida Console" w:eastAsia="Times New Roman" w:hAnsi="Lucida Console" w:cs="Courier New"/>
          <w:color w:val="000000"/>
          <w:sz w:val="20"/>
          <w:szCs w:val="20"/>
          <w:lang w:eastAsia="fr-FR"/>
        </w:rPr>
        <w:t xml:space="preserve">D0                 -1.4892e+00     2.5079e-01      0     3.5259e+01   1     </w:t>
      </w:r>
      <w:r w:rsidRPr="00A34B38">
        <w:rPr>
          <w:rFonts w:ascii="Lucida Console" w:eastAsia="Times New Roman" w:hAnsi="Lucida Console" w:cs="Courier New"/>
          <w:color w:val="000000"/>
          <w:sz w:val="20"/>
          <w:szCs w:val="20"/>
          <w:highlight w:val="yellow"/>
          <w:lang w:eastAsia="fr-FR"/>
        </w:rPr>
        <w:t>0.0000</w:t>
      </w:r>
      <w:r w:rsidRPr="00A34B38">
        <w:rPr>
          <w:rFonts w:ascii="Lucida Console" w:eastAsia="Times New Roman" w:hAnsi="Lucida Console" w:cs="Courier New"/>
          <w:color w:val="000000"/>
          <w:sz w:val="20"/>
          <w:szCs w:val="20"/>
          <w:lang w:eastAsia="fr-FR"/>
        </w:rPr>
        <w:t xml:space="preserve"> </w:t>
      </w:r>
    </w:p>
    <w:p w14:paraId="44E5B782" w14:textId="1E729F8F" w:rsidR="00A34B38" w:rsidRDefault="00A34B38" w:rsidP="00A34B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sidRPr="00A34B38">
        <w:rPr>
          <w:rFonts w:ascii="Lucida Console" w:eastAsia="Times New Roman" w:hAnsi="Lucida Console" w:cs="Courier New"/>
          <w:color w:val="000000"/>
          <w:sz w:val="20"/>
          <w:szCs w:val="20"/>
          <w:lang w:eastAsia="fr-FR"/>
        </w:rPr>
        <w:t>gamma0              1.3723e-01     8.2274e-02      0     2.7823e+00   1     0.0953</w:t>
      </w:r>
    </w:p>
    <w:p w14:paraId="4B275FB9" w14:textId="77777777" w:rsidR="00D435FE" w:rsidRDefault="00D435FE">
      <w:pPr>
        <w:jc w:val="both"/>
      </w:pPr>
    </w:p>
    <w:p w14:paraId="7165CAA4" w14:textId="6B55B772" w:rsidR="00D435FE" w:rsidRPr="006743FD" w:rsidRDefault="005936AB">
      <w:pPr>
        <w:jc w:val="both"/>
      </w:pPr>
      <w:r>
        <w:t>On voit que la p-value n’est pas significative au niveau de la modalité D2. L’outil conclue donc que les dispositifs D1 et D2 ne sont pas différents. Le dispositif D0 est le seul à se distinguer.</w:t>
      </w:r>
    </w:p>
    <w:p w14:paraId="06D387AF" w14:textId="77777777" w:rsidR="00F53763" w:rsidRDefault="00F53763" w:rsidP="00AA2A10">
      <w:pPr>
        <w:pStyle w:val="Titre2"/>
      </w:pPr>
    </w:p>
    <w:p w14:paraId="691BFAA6" w14:textId="45772502" w:rsidR="00D435FE" w:rsidRDefault="005936AB" w:rsidP="00AA2A10">
      <w:pPr>
        <w:pStyle w:val="Titre2"/>
      </w:pPr>
      <w:bookmarkStart w:id="15" w:name="_Toc63065733"/>
      <w:r>
        <w:t>Point de vigilance</w:t>
      </w:r>
      <w:bookmarkEnd w:id="15"/>
    </w:p>
    <w:p w14:paraId="716BA2EB" w14:textId="4BCCC873" w:rsidR="00D435FE" w:rsidRDefault="005936AB">
      <w:pPr>
        <w:jc w:val="both"/>
      </w:pPr>
      <w:r w:rsidRPr="006743FD">
        <w:t>Il est possible que le modèle ne converge pas et renvoie alors le message « maxiter reached », ou bien qu’il ne puisse pas calculer d</w:t>
      </w:r>
      <w:r w:rsidR="00AA2A10">
        <w:t>’écart-type d'estimation et</w:t>
      </w:r>
      <w:r w:rsidRPr="006743FD">
        <w:t xml:space="preserve"> </w:t>
      </w:r>
      <w:r w:rsidR="00AA2A10">
        <w:t>ne fournisse donc</w:t>
      </w:r>
      <w:r w:rsidR="0093762F">
        <w:t xml:space="preserve"> </w:t>
      </w:r>
      <w:r w:rsidRPr="006743FD">
        <w:t xml:space="preserve">pas de p-value (renvoyant ainsi des NA dans le tableau de résultats). </w:t>
      </w:r>
      <w:r w:rsidR="006743FD" w:rsidRPr="006743FD">
        <w:t>Cette situation peut être rencontrée dans le cas de jeux de données très réduits, et le modèle n’est alors pas applicable.</w:t>
      </w:r>
    </w:p>
    <w:p w14:paraId="06C56DEB" w14:textId="77777777" w:rsidR="000E38D6" w:rsidRDefault="000E38D6">
      <w:pPr>
        <w:jc w:val="both"/>
      </w:pPr>
    </w:p>
    <w:p w14:paraId="7D10FB5D" w14:textId="484B2B35" w:rsidR="002C4285" w:rsidRPr="00130645" w:rsidRDefault="005936AB" w:rsidP="00130645">
      <w:pPr>
        <w:rPr>
          <w:b/>
        </w:rPr>
      </w:pPr>
      <w:bookmarkStart w:id="16" w:name="_Toc63065734"/>
      <w:r w:rsidRPr="00130645">
        <w:rPr>
          <w:rStyle w:val="Titre2Car"/>
        </w:rPr>
        <w:t>Interprétation des résultats</w:t>
      </w:r>
      <w:bookmarkEnd w:id="16"/>
      <w:r w:rsidRPr="00130645">
        <w:rPr>
          <w:b/>
        </w:rPr>
        <w:t> : comparaison des médianes (ou d’un autre percentile) des distributions distinguées</w:t>
      </w:r>
    </w:p>
    <w:p w14:paraId="711325DA" w14:textId="0B7A338F" w:rsidR="002C4285" w:rsidRDefault="002C4285" w:rsidP="002C4285">
      <w:pPr>
        <w:spacing w:line="276" w:lineRule="auto"/>
        <w:jc w:val="both"/>
        <w:rPr>
          <w:rFonts w:cs="Arial"/>
          <w:iCs/>
          <w:szCs w:val="20"/>
        </w:rPr>
      </w:pPr>
      <w:r>
        <w:t>Les médianes</w:t>
      </w:r>
      <w:r w:rsidR="00DA3E32">
        <w:t xml:space="preserve"> correspondant à la distribution théorique calculée</w:t>
      </w:r>
      <w:r>
        <w:t xml:space="preserve"> par l’outil peuvent être retrouvées à partir des premières lignes de la colonne « estimate » (jusqu’à gamma0) du premier tableau de résultats renvoyé, qui correspondent aux coefficients </w:t>
      </w:r>
      <w:r>
        <w:rPr>
          <w:rFonts w:cs="Arial"/>
          <w:iCs/>
          <w:szCs w:val="20"/>
        </w:rPr>
        <w:t>β</w:t>
      </w:r>
      <w:r>
        <w:rPr>
          <w:rFonts w:cs="Arial"/>
          <w:iCs/>
          <w:szCs w:val="20"/>
          <w:vertAlign w:val="subscript"/>
        </w:rPr>
        <w:t>1</w:t>
      </w:r>
      <w:r>
        <w:rPr>
          <w:rFonts w:cs="Arial"/>
          <w:iCs/>
          <w:szCs w:val="20"/>
        </w:rPr>
        <w:t>, β</w:t>
      </w:r>
      <w:r>
        <w:rPr>
          <w:rFonts w:cs="Arial"/>
          <w:iCs/>
          <w:szCs w:val="20"/>
          <w:vertAlign w:val="subscript"/>
        </w:rPr>
        <w:t>2</w:t>
      </w:r>
      <w:r>
        <w:rPr>
          <w:rFonts w:cs="Arial"/>
          <w:iCs/>
          <w:szCs w:val="20"/>
        </w:rPr>
        <w:t xml:space="preserve">, … Ce calcul se fait </w:t>
      </w:r>
      <w:r>
        <w:t xml:space="preserve">directement grâce à l’expression </w:t>
      </w:r>
      <w:r>
        <w:rPr>
          <w:rFonts w:cs="Arial"/>
          <w:i/>
          <w:iCs/>
          <w:szCs w:val="20"/>
        </w:rPr>
        <w:t>Y = e</w:t>
      </w:r>
      <w:r>
        <w:rPr>
          <w:rFonts w:cs="Arial"/>
          <w:iCs/>
          <w:szCs w:val="20"/>
          <w:vertAlign w:val="superscript"/>
        </w:rPr>
        <w:t xml:space="preserve"> β0 + β1.X1 + … </w:t>
      </w:r>
      <w:r>
        <w:rPr>
          <w:rFonts w:cs="Arial"/>
          <w:iCs/>
          <w:szCs w:val="20"/>
        </w:rPr>
        <w:t>(voir la première partie</w:t>
      </w:r>
      <w:r w:rsidR="0055240E">
        <w:rPr>
          <w:rFonts w:cs="Arial"/>
          <w:iCs/>
          <w:szCs w:val="20"/>
        </w:rPr>
        <w:t xml:space="preserve"> du document</w:t>
      </w:r>
      <w:r>
        <w:rPr>
          <w:rFonts w:cs="Arial"/>
          <w:iCs/>
          <w:szCs w:val="20"/>
        </w:rPr>
        <w:t xml:space="preserve"> présentant le principe de la méthode).</w:t>
      </w:r>
    </w:p>
    <w:p w14:paraId="1BA417C2" w14:textId="4BBC585C" w:rsidR="002C4285" w:rsidRPr="002C4285" w:rsidRDefault="00DA3E32" w:rsidP="002C4285">
      <w:pPr>
        <w:spacing w:line="276" w:lineRule="auto"/>
        <w:jc w:val="both"/>
        <w:rPr>
          <w:rFonts w:cs="Arial"/>
          <w:iCs/>
          <w:szCs w:val="20"/>
        </w:rPr>
      </w:pPr>
      <w:r>
        <w:rPr>
          <w:rFonts w:cs="Arial"/>
          <w:iCs/>
          <w:szCs w:val="20"/>
        </w:rPr>
        <w:t>On considère</w:t>
      </w:r>
      <w:r w:rsidR="002C4285">
        <w:rPr>
          <w:rFonts w:cs="Arial"/>
          <w:iCs/>
          <w:szCs w:val="20"/>
        </w:rPr>
        <w:t xml:space="preserve"> le résultat final de l’exemple développé plus haut :</w:t>
      </w:r>
    </w:p>
    <w:p w14:paraId="52668B68" w14:textId="77777777" w:rsidR="002C4285" w:rsidRPr="00A34B38" w:rsidRDefault="005936AB" w:rsidP="002C42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sidRPr="002C4285">
        <w:rPr>
          <w:b/>
        </w:rPr>
        <w:t xml:space="preserve"> </w:t>
      </w:r>
      <w:r w:rsidR="002C4285" w:rsidRPr="00A34B38">
        <w:rPr>
          <w:rFonts w:ascii="Lucida Console" w:eastAsia="Times New Roman" w:hAnsi="Lucida Console" w:cs="Courier New"/>
          <w:color w:val="000000"/>
          <w:sz w:val="20"/>
          <w:szCs w:val="20"/>
          <w:lang w:val="en-GB" w:eastAsia="fr-FR"/>
        </w:rPr>
        <w:t xml:space="preserve">Dependent variable :  NTK </w:t>
      </w:r>
    </w:p>
    <w:p w14:paraId="42FF04F3" w14:textId="77777777" w:rsidR="002C4285" w:rsidRPr="00A34B38" w:rsidRDefault="002C4285" w:rsidP="002C42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sidRPr="00A34B38">
        <w:rPr>
          <w:rFonts w:ascii="Lucida Console" w:eastAsia="Times New Roman" w:hAnsi="Lucida Console" w:cs="Courier New"/>
          <w:color w:val="000000"/>
          <w:sz w:val="20"/>
          <w:szCs w:val="20"/>
          <w:lang w:val="en-GB" w:eastAsia="fr-FR"/>
        </w:rPr>
        <w:t xml:space="preserve">Label                 Estimate      Std. Dev.    Ref           Chi2  DF       Pval </w:t>
      </w:r>
    </w:p>
    <w:p w14:paraId="4C6DB4E5" w14:textId="77777777" w:rsidR="002C4285" w:rsidRPr="00A34B38" w:rsidRDefault="002C4285" w:rsidP="002C42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sidRPr="00A34B38">
        <w:rPr>
          <w:rFonts w:ascii="Lucida Console" w:eastAsia="Times New Roman" w:hAnsi="Lucida Console" w:cs="Courier New"/>
          <w:color w:val="000000"/>
          <w:sz w:val="20"/>
          <w:szCs w:val="20"/>
          <w:lang w:val="en-GB" w:eastAsia="fr-FR"/>
        </w:rPr>
        <w:t xml:space="preserve">beta0               3.1101e+00     1.8608e-01      0     2.7934e+02   1     0.0000 </w:t>
      </w:r>
    </w:p>
    <w:p w14:paraId="27C18E22" w14:textId="77777777" w:rsidR="002C4285" w:rsidRPr="00A34B38" w:rsidRDefault="002C4285" w:rsidP="002C42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sidRPr="00A34B38">
        <w:rPr>
          <w:rFonts w:ascii="Lucida Console" w:eastAsia="Times New Roman" w:hAnsi="Lucida Console" w:cs="Courier New"/>
          <w:color w:val="000000"/>
          <w:sz w:val="20"/>
          <w:szCs w:val="20"/>
          <w:lang w:eastAsia="fr-FR"/>
        </w:rPr>
        <w:t xml:space="preserve">D0                 -1.4892e+00     2.5079e-01      0     3.5259e+01   1     </w:t>
      </w:r>
      <w:r w:rsidRPr="00A34B38">
        <w:rPr>
          <w:rFonts w:ascii="Lucida Console" w:eastAsia="Times New Roman" w:hAnsi="Lucida Console" w:cs="Courier New"/>
          <w:color w:val="000000"/>
          <w:sz w:val="20"/>
          <w:szCs w:val="20"/>
          <w:highlight w:val="yellow"/>
          <w:lang w:eastAsia="fr-FR"/>
        </w:rPr>
        <w:t>0.0000</w:t>
      </w:r>
      <w:r w:rsidRPr="00A34B38">
        <w:rPr>
          <w:rFonts w:ascii="Lucida Console" w:eastAsia="Times New Roman" w:hAnsi="Lucida Console" w:cs="Courier New"/>
          <w:color w:val="000000"/>
          <w:sz w:val="20"/>
          <w:szCs w:val="20"/>
          <w:lang w:eastAsia="fr-FR"/>
        </w:rPr>
        <w:t xml:space="preserve"> </w:t>
      </w:r>
    </w:p>
    <w:p w14:paraId="47767921" w14:textId="6D253F28" w:rsidR="002C4285" w:rsidRDefault="002C4285" w:rsidP="002C42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sidRPr="00A34B38">
        <w:rPr>
          <w:rFonts w:ascii="Lucida Console" w:eastAsia="Times New Roman" w:hAnsi="Lucida Console" w:cs="Courier New"/>
          <w:color w:val="000000"/>
          <w:sz w:val="20"/>
          <w:szCs w:val="20"/>
          <w:lang w:eastAsia="fr-FR"/>
        </w:rPr>
        <w:t>gamma0              1.3723e-01     8.2274e-02      0     2.7823e+00   1     0.0953</w:t>
      </w:r>
    </w:p>
    <w:p w14:paraId="05F5A5D7" w14:textId="4D2F7BEE" w:rsidR="00D435FE" w:rsidRDefault="00D435FE">
      <w:pPr>
        <w:jc w:val="both"/>
        <w:rPr>
          <w:b/>
        </w:rPr>
      </w:pPr>
    </w:p>
    <w:p w14:paraId="0695841E" w14:textId="66211EAF" w:rsidR="00BB7927" w:rsidRDefault="002C4285">
      <w:pPr>
        <w:jc w:val="both"/>
      </w:pPr>
      <w:r>
        <w:t xml:space="preserve">Les conclusions de l’outil permettent ici de distinguer statistiquement le dispositif D0 des deux autres pour le paramètre NTK. </w:t>
      </w:r>
      <w:r w:rsidR="00DA3E32">
        <w:t xml:space="preserve">La colonne « estimate » permet d’obtenir les médianes calculées par l’outil pour la distribution des données du dispositif D0, et </w:t>
      </w:r>
      <w:r w:rsidR="0055240E">
        <w:t>pour</w:t>
      </w:r>
      <w:r w:rsidR="00DA3E32">
        <w:t xml:space="preserve"> la distribution de référence, c’est-à-dire des données des dispositifs D1 et D2 (non </w:t>
      </w:r>
      <w:r w:rsidR="0055240E">
        <w:t>distingué</w:t>
      </w:r>
      <w:r w:rsidR="00DA3E32">
        <w:t>s statistiquement) :</w:t>
      </w:r>
    </w:p>
    <w:p w14:paraId="7A3BE12F" w14:textId="09C9957C" w:rsidR="00DA3E32" w:rsidRDefault="00DA3E32">
      <w:pPr>
        <w:jc w:val="both"/>
        <w:rPr>
          <w:rFonts w:cs="Arial"/>
          <w:iCs/>
          <w:szCs w:val="20"/>
        </w:rPr>
      </w:pPr>
      <w:r>
        <w:t xml:space="preserve">Médiane </w:t>
      </w:r>
      <w:r w:rsidR="00BB7927">
        <w:t xml:space="preserve">NTK </w:t>
      </w:r>
      <w:r>
        <w:t xml:space="preserve">(D1+D2) = </w:t>
      </w:r>
      <w:r>
        <w:rPr>
          <w:rFonts w:cs="Arial"/>
          <w:i/>
          <w:iCs/>
          <w:szCs w:val="20"/>
        </w:rPr>
        <w:t>e</w:t>
      </w:r>
      <w:r>
        <w:rPr>
          <w:rFonts w:cs="Arial"/>
          <w:iCs/>
          <w:szCs w:val="20"/>
          <w:vertAlign w:val="superscript"/>
        </w:rPr>
        <w:t xml:space="preserve"> β0 </w:t>
      </w:r>
      <w:r>
        <w:rPr>
          <w:rFonts w:cs="Arial"/>
          <w:iCs/>
          <w:szCs w:val="20"/>
        </w:rPr>
        <w:t xml:space="preserve">= </w:t>
      </w:r>
      <w:r>
        <w:rPr>
          <w:rFonts w:cs="Arial"/>
          <w:i/>
          <w:iCs/>
          <w:szCs w:val="20"/>
        </w:rPr>
        <w:t>e</w:t>
      </w:r>
      <w:r>
        <w:rPr>
          <w:rFonts w:cs="Arial"/>
          <w:iCs/>
          <w:szCs w:val="20"/>
          <w:vertAlign w:val="superscript"/>
        </w:rPr>
        <w:t xml:space="preserve"> 3,1101</w:t>
      </w:r>
      <w:r>
        <w:rPr>
          <w:rFonts w:cs="Arial"/>
          <w:iCs/>
          <w:szCs w:val="20"/>
        </w:rPr>
        <w:t xml:space="preserve"> = </w:t>
      </w:r>
      <w:r w:rsidR="00BB7927">
        <w:rPr>
          <w:rFonts w:cs="Arial"/>
          <w:iCs/>
          <w:szCs w:val="20"/>
        </w:rPr>
        <w:t>22,4 mg/L</w:t>
      </w:r>
    </w:p>
    <w:p w14:paraId="2977CC1B" w14:textId="116BA6F1" w:rsidR="00BB7927" w:rsidRDefault="00BB7927" w:rsidP="00BB7927">
      <w:pPr>
        <w:jc w:val="both"/>
        <w:rPr>
          <w:rFonts w:cs="Arial"/>
          <w:iCs/>
          <w:szCs w:val="20"/>
        </w:rPr>
      </w:pPr>
      <w:r>
        <w:rPr>
          <w:rFonts w:cs="Arial"/>
          <w:iCs/>
          <w:szCs w:val="20"/>
        </w:rPr>
        <w:t xml:space="preserve">Médiane NTK (D0) = </w:t>
      </w:r>
      <w:r>
        <w:rPr>
          <w:rFonts w:cs="Arial"/>
          <w:i/>
          <w:iCs/>
          <w:szCs w:val="20"/>
        </w:rPr>
        <w:t>e</w:t>
      </w:r>
      <w:r>
        <w:rPr>
          <w:rFonts w:cs="Arial"/>
          <w:iCs/>
          <w:szCs w:val="20"/>
          <w:vertAlign w:val="superscript"/>
        </w:rPr>
        <w:t xml:space="preserve"> β0 + </w:t>
      </w:r>
      <w:r w:rsidR="00700F76">
        <w:rPr>
          <w:rFonts w:cs="Arial"/>
          <w:iCs/>
          <w:szCs w:val="20"/>
          <w:vertAlign w:val="superscript"/>
        </w:rPr>
        <w:t>β</w:t>
      </w:r>
      <w:r>
        <w:rPr>
          <w:rFonts w:cs="Arial"/>
          <w:iCs/>
          <w:szCs w:val="20"/>
          <w:vertAlign w:val="superscript"/>
        </w:rPr>
        <w:t xml:space="preserve">D0 </w:t>
      </w:r>
      <w:r>
        <w:rPr>
          <w:rFonts w:cs="Arial"/>
          <w:iCs/>
          <w:szCs w:val="20"/>
        </w:rPr>
        <w:t xml:space="preserve">= </w:t>
      </w:r>
      <w:r>
        <w:rPr>
          <w:rFonts w:cs="Arial"/>
          <w:i/>
          <w:iCs/>
          <w:szCs w:val="20"/>
        </w:rPr>
        <w:t>e</w:t>
      </w:r>
      <w:r>
        <w:rPr>
          <w:rFonts w:cs="Arial"/>
          <w:iCs/>
          <w:szCs w:val="20"/>
          <w:vertAlign w:val="superscript"/>
        </w:rPr>
        <w:t xml:space="preserve"> 3,1101-1,4892</w:t>
      </w:r>
      <w:r>
        <w:rPr>
          <w:rFonts w:cs="Arial"/>
          <w:iCs/>
          <w:szCs w:val="20"/>
        </w:rPr>
        <w:t xml:space="preserve"> = 5,1 mg/L</w:t>
      </w:r>
    </w:p>
    <w:p w14:paraId="619329E6" w14:textId="67B1C644" w:rsidR="00BB7927" w:rsidRDefault="00BB7927" w:rsidP="00BB7927">
      <w:pPr>
        <w:spacing w:line="276" w:lineRule="auto"/>
        <w:jc w:val="both"/>
        <w:rPr>
          <w:rFonts w:cs="Arial"/>
          <w:iCs/>
          <w:szCs w:val="20"/>
        </w:rPr>
      </w:pPr>
      <w:r>
        <w:rPr>
          <w:rFonts w:cs="Arial"/>
          <w:iCs/>
          <w:szCs w:val="20"/>
        </w:rPr>
        <w:t>Les</w:t>
      </w:r>
      <w:r w:rsidRPr="006743FD">
        <w:rPr>
          <w:rFonts w:cs="Arial"/>
          <w:iCs/>
          <w:szCs w:val="20"/>
        </w:rPr>
        <w:t xml:space="preserve"> coefficients β</w:t>
      </w:r>
      <w:r w:rsidRPr="006743FD">
        <w:rPr>
          <w:rFonts w:cs="Arial"/>
          <w:iCs/>
          <w:szCs w:val="20"/>
          <w:vertAlign w:val="subscript"/>
        </w:rPr>
        <w:t>1</w:t>
      </w:r>
      <w:r w:rsidRPr="006743FD">
        <w:rPr>
          <w:rFonts w:cs="Arial"/>
          <w:iCs/>
          <w:szCs w:val="20"/>
        </w:rPr>
        <w:t>, β</w:t>
      </w:r>
      <w:r w:rsidRPr="006743FD">
        <w:rPr>
          <w:rFonts w:cs="Arial"/>
          <w:iCs/>
          <w:szCs w:val="20"/>
          <w:vertAlign w:val="subscript"/>
        </w:rPr>
        <w:t>2</w:t>
      </w:r>
      <w:r w:rsidRPr="006743FD">
        <w:rPr>
          <w:rFonts w:cs="Arial"/>
          <w:iCs/>
          <w:szCs w:val="20"/>
        </w:rPr>
        <w:t>, …</w:t>
      </w:r>
      <w:r>
        <w:rPr>
          <w:rFonts w:cs="Arial"/>
          <w:iCs/>
          <w:szCs w:val="20"/>
        </w:rPr>
        <w:t xml:space="preserve"> de la colonne « estimate » peuvent également permettre de déterminer</w:t>
      </w:r>
      <w:r w:rsidRPr="006743FD">
        <w:rPr>
          <w:rFonts w:cs="Arial"/>
          <w:iCs/>
          <w:szCs w:val="20"/>
        </w:rPr>
        <w:t xml:space="preserve"> des facteurs quantifiant l’influence (positive ou négative) attachés à chaque variable explicative X</w:t>
      </w:r>
      <w:r w:rsidRPr="006743FD">
        <w:rPr>
          <w:rFonts w:cs="Arial"/>
          <w:iCs/>
          <w:szCs w:val="20"/>
          <w:vertAlign w:val="subscript"/>
        </w:rPr>
        <w:t>1</w:t>
      </w:r>
      <w:r w:rsidRPr="006743FD">
        <w:rPr>
          <w:rFonts w:cs="Arial"/>
          <w:iCs/>
          <w:szCs w:val="20"/>
        </w:rPr>
        <w:t>, X</w:t>
      </w:r>
      <w:r w:rsidRPr="006743FD">
        <w:rPr>
          <w:rFonts w:cs="Arial"/>
          <w:iCs/>
          <w:szCs w:val="20"/>
          <w:vertAlign w:val="subscript"/>
        </w:rPr>
        <w:t>2</w:t>
      </w:r>
      <w:r w:rsidRPr="006743FD">
        <w:rPr>
          <w:rFonts w:cs="Arial"/>
          <w:iCs/>
          <w:szCs w:val="20"/>
        </w:rPr>
        <w:t>, …par rapport à la référence</w:t>
      </w:r>
      <w:r>
        <w:rPr>
          <w:rFonts w:cs="Arial"/>
          <w:iCs/>
          <w:szCs w:val="20"/>
        </w:rPr>
        <w:t xml:space="preserve"> (voir </w:t>
      </w:r>
      <w:r w:rsidR="0055240E">
        <w:rPr>
          <w:rFonts w:cs="Arial"/>
          <w:iCs/>
          <w:szCs w:val="20"/>
        </w:rPr>
        <w:t>« </w:t>
      </w:r>
      <w:r>
        <w:rPr>
          <w:rFonts w:cs="Arial"/>
          <w:iCs/>
          <w:szCs w:val="20"/>
        </w:rPr>
        <w:t>principe de la méthode</w:t>
      </w:r>
      <w:r w:rsidR="0055240E">
        <w:rPr>
          <w:rFonts w:cs="Arial"/>
          <w:iCs/>
          <w:szCs w:val="20"/>
        </w:rPr>
        <w:t> »</w:t>
      </w:r>
      <w:r>
        <w:rPr>
          <w:rFonts w:cs="Arial"/>
          <w:iCs/>
          <w:szCs w:val="20"/>
        </w:rPr>
        <w:t>)</w:t>
      </w:r>
      <w:r w:rsidRPr="006743FD">
        <w:rPr>
          <w:rFonts w:cs="Arial"/>
          <w:iCs/>
          <w:szCs w:val="20"/>
        </w:rPr>
        <w:t xml:space="preserve">. </w:t>
      </w:r>
    </w:p>
    <w:p w14:paraId="23C68B58" w14:textId="06C2E005" w:rsidR="00BB7927" w:rsidRDefault="00BB7927" w:rsidP="00BB7927">
      <w:pPr>
        <w:spacing w:line="276" w:lineRule="auto"/>
        <w:jc w:val="both"/>
        <w:rPr>
          <w:rFonts w:cs="Arial"/>
          <w:iCs/>
          <w:szCs w:val="20"/>
        </w:rPr>
      </w:pPr>
      <w:r>
        <w:rPr>
          <w:rFonts w:cs="Arial"/>
          <w:iCs/>
          <w:szCs w:val="20"/>
        </w:rPr>
        <w:t xml:space="preserve">Dans l’exemple, le coefficient </w:t>
      </w:r>
      <w:r w:rsidRPr="006743FD">
        <w:rPr>
          <w:rFonts w:cs="Arial"/>
          <w:iCs/>
          <w:szCs w:val="20"/>
        </w:rPr>
        <w:t>β</w:t>
      </w:r>
      <w:r>
        <w:rPr>
          <w:rFonts w:cs="Arial"/>
          <w:iCs/>
          <w:szCs w:val="20"/>
        </w:rPr>
        <w:t xml:space="preserve"> lié à la modalité D0 étant négatif, le facteur de modification est :</w:t>
      </w:r>
    </w:p>
    <w:p w14:paraId="7D18DCE1" w14:textId="3B434D83" w:rsidR="00BB7927" w:rsidRDefault="00BB7927" w:rsidP="00BB7927">
      <w:pPr>
        <w:spacing w:line="276" w:lineRule="auto"/>
        <w:jc w:val="both"/>
        <w:rPr>
          <w:rFonts w:cs="Arial"/>
          <w:iCs/>
          <w:szCs w:val="20"/>
        </w:rPr>
      </w:pPr>
      <w:r w:rsidRPr="006743FD">
        <w:rPr>
          <w:rFonts w:cs="Arial"/>
          <w:iCs/>
          <w:szCs w:val="20"/>
        </w:rPr>
        <w:t>1 - e</w:t>
      </w:r>
      <w:r w:rsidRPr="006743FD">
        <w:rPr>
          <w:rFonts w:cs="Arial"/>
          <w:iCs/>
          <w:szCs w:val="20"/>
          <w:vertAlign w:val="superscript"/>
        </w:rPr>
        <w:t>Β</w:t>
      </w:r>
      <w:r>
        <w:rPr>
          <w:rFonts w:cs="Arial"/>
          <w:iCs/>
          <w:szCs w:val="20"/>
          <w:vertAlign w:val="superscript"/>
        </w:rPr>
        <w:t>D0</w:t>
      </w:r>
      <w:r>
        <w:rPr>
          <w:rFonts w:cs="Arial"/>
          <w:iCs/>
          <w:szCs w:val="20"/>
        </w:rPr>
        <w:t xml:space="preserve"> = </w:t>
      </w:r>
      <w:r w:rsidRPr="006743FD">
        <w:rPr>
          <w:rFonts w:cs="Arial"/>
          <w:iCs/>
          <w:szCs w:val="20"/>
        </w:rPr>
        <w:t xml:space="preserve">1 </w:t>
      </w:r>
      <w:r>
        <w:rPr>
          <w:rFonts w:cs="Arial"/>
          <w:iCs/>
          <w:szCs w:val="20"/>
        </w:rPr>
        <w:t>–</w:t>
      </w:r>
      <w:r w:rsidRPr="006743FD">
        <w:rPr>
          <w:rFonts w:cs="Arial"/>
          <w:iCs/>
          <w:szCs w:val="20"/>
        </w:rPr>
        <w:t xml:space="preserve"> e</w:t>
      </w:r>
      <w:r>
        <w:rPr>
          <w:rFonts w:cs="Arial"/>
          <w:iCs/>
          <w:szCs w:val="20"/>
          <w:vertAlign w:val="superscript"/>
        </w:rPr>
        <w:t>-1 ,4892</w:t>
      </w:r>
      <w:r>
        <w:rPr>
          <w:rFonts w:cs="Arial"/>
          <w:iCs/>
          <w:szCs w:val="20"/>
        </w:rPr>
        <w:t xml:space="preserve"> = 0,77 </w:t>
      </w:r>
    </w:p>
    <w:p w14:paraId="4C733276" w14:textId="768FA89E" w:rsidR="00DA3E32" w:rsidRPr="00257EF6" w:rsidRDefault="006065C3" w:rsidP="00257EF6">
      <w:pPr>
        <w:spacing w:line="276" w:lineRule="auto"/>
        <w:jc w:val="both"/>
        <w:rPr>
          <w:rFonts w:cs="Arial"/>
          <w:iCs/>
          <w:szCs w:val="20"/>
        </w:rPr>
      </w:pPr>
      <w:r>
        <w:rPr>
          <w:rFonts w:cs="Arial"/>
          <w:iCs/>
          <w:szCs w:val="20"/>
        </w:rPr>
        <w:t>Soit une diminution de 77 % par rapport à la référence.</w:t>
      </w:r>
    </w:p>
    <w:p w14:paraId="0CB92668" w14:textId="77777777" w:rsidR="00DA3E32" w:rsidRDefault="00DA3E32">
      <w:pPr>
        <w:jc w:val="both"/>
      </w:pPr>
    </w:p>
    <w:p w14:paraId="3BE7DDB5" w14:textId="6FC603A8" w:rsidR="00D435FE" w:rsidRDefault="005936AB">
      <w:pPr>
        <w:jc w:val="both"/>
      </w:pPr>
      <w:r>
        <w:t xml:space="preserve">En plus du tableau de résultats permettant d’identifier les variables ayant un effet significatif, le script fournit en sortie un second tableau contenant les médianes (ou un autre percentile choisi par l’utilisateur) observées et calculées par l’outil, pour tous les sous-groupes de données construits à partir des variables ayant un effet identifié. </w:t>
      </w:r>
    </w:p>
    <w:p w14:paraId="49312FDC" w14:textId="77777777" w:rsidR="00D435FE" w:rsidRDefault="005936AB">
      <w:pPr>
        <w:jc w:val="both"/>
      </w:pPr>
      <w:r>
        <w:t>L’utilisateur peut choisir le percentile à afficher dans le dernier bloc du script, « quantile estimation ». Il s’agit de la variable nommée « percent » :</w:t>
      </w:r>
    </w:p>
    <w:p w14:paraId="7F05F338" w14:textId="77777777" w:rsidR="00D435FE" w:rsidRDefault="005936AB">
      <w:pPr>
        <w:jc w:val="both"/>
      </w:pPr>
      <w:r>
        <w:rPr>
          <w:noProof/>
          <w:lang w:eastAsia="fr-FR"/>
        </w:rPr>
        <w:lastRenderedPageBreak/>
        <w:drawing>
          <wp:inline distT="0" distB="6985" distL="0" distR="2540" wp14:anchorId="203D3EF5" wp14:editId="68A503BC">
            <wp:extent cx="5712460" cy="2812415"/>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
                    <pic:cNvPicPr>
                      <a:picLocks noChangeAspect="1" noChangeArrowheads="1"/>
                    </pic:cNvPicPr>
                  </pic:nvPicPr>
                  <pic:blipFill>
                    <a:blip r:embed="rId12"/>
                    <a:srcRect t="688" b="688"/>
                    <a:stretch>
                      <a:fillRect/>
                    </a:stretch>
                  </pic:blipFill>
                  <pic:spPr bwMode="auto">
                    <a:xfrm>
                      <a:off x="0" y="0"/>
                      <a:ext cx="5712460" cy="2812415"/>
                    </a:xfrm>
                    <a:prstGeom prst="rect">
                      <a:avLst/>
                    </a:prstGeom>
                  </pic:spPr>
                </pic:pic>
              </a:graphicData>
            </a:graphic>
          </wp:inline>
        </w:drawing>
      </w:r>
      <w:r>
        <w:rPr>
          <w:noProof/>
          <w:lang w:eastAsia="fr-FR"/>
        </w:rPr>
        <mc:AlternateContent>
          <mc:Choice Requires="wps">
            <w:drawing>
              <wp:anchor distT="0" distB="0" distL="114300" distR="114300" simplePos="0" relativeHeight="2" behindDoc="0" locked="0" layoutInCell="1" allowOverlap="1" wp14:anchorId="1D8D2F1F" wp14:editId="4C557A59">
                <wp:simplePos x="0" y="0"/>
                <wp:positionH relativeFrom="column">
                  <wp:posOffset>1168400</wp:posOffset>
                </wp:positionH>
                <wp:positionV relativeFrom="paragraph">
                  <wp:posOffset>260350</wp:posOffset>
                </wp:positionV>
                <wp:extent cx="356235" cy="330835"/>
                <wp:effectExtent l="19050" t="19050" r="25400" b="12700"/>
                <wp:wrapNone/>
                <wp:docPr id="5" name="Ellipse 4"/>
                <wp:cNvGraphicFramePr/>
                <a:graphic xmlns:a="http://schemas.openxmlformats.org/drawingml/2006/main">
                  <a:graphicData uri="http://schemas.microsoft.com/office/word/2010/wordprocessingShape">
                    <wps:wsp>
                      <wps:cNvSpPr/>
                      <wps:spPr>
                        <a:xfrm>
                          <a:off x="0" y="0"/>
                          <a:ext cx="355680" cy="330120"/>
                        </a:xfrm>
                        <a:prstGeom prst="ellipse">
                          <a:avLst/>
                        </a:prstGeom>
                        <a:noFill/>
                        <a:ln w="28440">
                          <a:solidFill>
                            <a:srgbClr val="FF000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oval id="shape_0" ID="Ellipse 4" stroked="t" style="position:absolute;margin-left:92pt;margin-top:20.5pt;width:27.95pt;height:25.95pt" wp14:anchorId="3ED89663">
                <w10:wrap type="none"/>
                <v:fill o:detectmouseclick="t" on="false"/>
                <v:stroke color="red" weight="28440" joinstyle="miter" endcap="flat"/>
              </v:oval>
            </w:pict>
          </mc:Fallback>
        </mc:AlternateContent>
      </w:r>
    </w:p>
    <w:p w14:paraId="2250A58E" w14:textId="638025CD" w:rsidR="00D435FE" w:rsidRDefault="005936AB">
      <w:pPr>
        <w:jc w:val="both"/>
      </w:pPr>
      <w:r>
        <w:t>Dans le cas ci-dessus, « percent » est fixé à 0,5 soit la médiane (50</w:t>
      </w:r>
      <w:r>
        <w:rPr>
          <w:vertAlign w:val="superscript"/>
        </w:rPr>
        <w:t>ème</w:t>
      </w:r>
      <w:r>
        <w:t xml:space="preserve"> percentile). Fixer « percent » à 0,8, par exemple, permettrait de générer les 80</w:t>
      </w:r>
      <w:r>
        <w:rPr>
          <w:vertAlign w:val="superscript"/>
        </w:rPr>
        <w:t>èmes</w:t>
      </w:r>
      <w:r>
        <w:t xml:space="preserve"> percentiles. </w:t>
      </w:r>
    </w:p>
    <w:p w14:paraId="46372567" w14:textId="306CA3F9" w:rsidR="006065C3" w:rsidRDefault="00146E00">
      <w:pPr>
        <w:jc w:val="both"/>
      </w:pPr>
      <w:r>
        <w:rPr>
          <w:noProof/>
          <w:lang w:eastAsia="fr-FR"/>
        </w:rPr>
        <mc:AlternateContent>
          <mc:Choice Requires="wps">
            <w:drawing>
              <wp:anchor distT="0" distB="0" distL="114300" distR="114300" simplePos="0" relativeHeight="251659264" behindDoc="0" locked="0" layoutInCell="1" allowOverlap="1" wp14:anchorId="61151EC8" wp14:editId="00D27E33">
                <wp:simplePos x="0" y="0"/>
                <wp:positionH relativeFrom="column">
                  <wp:posOffset>4603750</wp:posOffset>
                </wp:positionH>
                <wp:positionV relativeFrom="paragraph">
                  <wp:posOffset>158115</wp:posOffset>
                </wp:positionV>
                <wp:extent cx="356235" cy="330835"/>
                <wp:effectExtent l="19050" t="19050" r="25400" b="12700"/>
                <wp:wrapNone/>
                <wp:docPr id="8" name="Ellipse 4"/>
                <wp:cNvGraphicFramePr/>
                <a:graphic xmlns:a="http://schemas.openxmlformats.org/drawingml/2006/main">
                  <a:graphicData uri="http://schemas.microsoft.com/office/word/2010/wordprocessingShape">
                    <wps:wsp>
                      <wps:cNvSpPr/>
                      <wps:spPr>
                        <a:xfrm>
                          <a:off x="0" y="0"/>
                          <a:ext cx="356235" cy="330835"/>
                        </a:xfrm>
                        <a:prstGeom prst="ellipse">
                          <a:avLst/>
                        </a:prstGeom>
                        <a:noFill/>
                        <a:ln w="28440">
                          <a:solidFill>
                            <a:srgbClr val="FF000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oval w14:anchorId="1721FB8B" id="Ellipse 4" o:spid="_x0000_s1026" style="position:absolute;margin-left:362.5pt;margin-top:12.45pt;width:28.05pt;height:26.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" filled="f" strokecolor="red" strokeweight=".79mm">
                <v:stroke joinstyle="miter"/>
              </v:oval>
            </w:pict>
          </mc:Fallback>
        </mc:AlternateContent>
      </w:r>
      <w:r w:rsidR="006065C3">
        <w:t xml:space="preserve">Pour </w:t>
      </w:r>
      <w:r w:rsidR="0055240E">
        <w:t>le même exemple</w:t>
      </w:r>
      <w:r w:rsidR="006065C3">
        <w:t xml:space="preserve">, on obtient les résultats suivants : </w:t>
      </w:r>
    </w:p>
    <w:p w14:paraId="4ED66CC7" w14:textId="3AF8ED2D" w:rsidR="006065C3" w:rsidRPr="006065C3" w:rsidRDefault="006065C3" w:rsidP="00606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sidRPr="006065C3">
        <w:rPr>
          <w:rFonts w:ascii="Lucida Console" w:eastAsia="Times New Roman" w:hAnsi="Lucida Console" w:cs="Courier New"/>
          <w:color w:val="000000"/>
          <w:sz w:val="20"/>
          <w:szCs w:val="20"/>
          <w:lang w:val="en-GB" w:eastAsia="fr-FR"/>
        </w:rPr>
        <w:t>Dependent variable : NTK - Table of observed and theoretical 50%-quantiles:</w:t>
      </w:r>
    </w:p>
    <w:p w14:paraId="1317FE8A" w14:textId="52DC1C14" w:rsidR="006065C3" w:rsidRPr="006065C3" w:rsidRDefault="006065C3" w:rsidP="00606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sidRPr="006065C3">
        <w:rPr>
          <w:rFonts w:ascii="Lucida Console" w:eastAsia="Times New Roman" w:hAnsi="Lucida Console" w:cs="Courier New"/>
          <w:color w:val="000000"/>
          <w:sz w:val="20"/>
          <w:szCs w:val="20"/>
          <w:lang w:val="en-GB" w:eastAsia="fr-FR"/>
        </w:rPr>
        <w:t xml:space="preserve">   D0 nbobs nblce  qobs     qcal        vqc      lbqc      ubqc</w:t>
      </w:r>
    </w:p>
    <w:p w14:paraId="1A8CAB5C" w14:textId="2683D168" w:rsidR="006065C3" w:rsidRPr="006065C3" w:rsidRDefault="006065C3" w:rsidP="00606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sidRPr="006065C3">
        <w:rPr>
          <w:rFonts w:ascii="Lucida Console" w:eastAsia="Times New Roman" w:hAnsi="Lucida Console" w:cs="Courier New"/>
          <w:color w:val="000000"/>
          <w:sz w:val="20"/>
          <w:szCs w:val="20"/>
          <w:lang w:eastAsia="fr-FR"/>
        </w:rPr>
        <w:t>1:  0    38     0 29.75 22.42336 0.03462717 15.570515 32.292256</w:t>
      </w:r>
    </w:p>
    <w:p w14:paraId="219696E1" w14:textId="24615E43" w:rsidR="006065C3" w:rsidRDefault="006065C3" w:rsidP="006065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sidRPr="006065C3">
        <w:rPr>
          <w:rFonts w:ascii="Lucida Console" w:eastAsia="Times New Roman" w:hAnsi="Lucida Console" w:cs="Courier New"/>
          <w:color w:val="000000"/>
          <w:sz w:val="20"/>
          <w:szCs w:val="20"/>
          <w:lang w:eastAsia="fr-FR"/>
        </w:rPr>
        <w:t>2:  1    48     8  6.10  5.05783 0.02826795  3.637881  7.032018</w:t>
      </w:r>
    </w:p>
    <w:p w14:paraId="6653F632" w14:textId="13549F36" w:rsidR="002C4285" w:rsidRDefault="002C4285">
      <w:pPr>
        <w:jc w:val="both"/>
      </w:pPr>
    </w:p>
    <w:p w14:paraId="4846B2FF" w14:textId="7A8AFD9A" w:rsidR="006065C3" w:rsidRDefault="006065C3" w:rsidP="006065C3">
      <w:pPr>
        <w:jc w:val="both"/>
      </w:pPr>
      <w:r>
        <w:t>Les premières colonnes correspondent aux variables significatives restantes à la fin des tests, codées en binaire (ici uniquement D0). Les colonnes nbobs et nblce correspondent respectivement au nombre de données total et au nombre de données censurées à gauche dans chaque sous-ensemble. La colonne qobs correspond au percentile réellement observé sur le jeu de données, et la colonne qcal au percentile de la distribution théorique déterminée par l’outil. Ces deux résultats sont fournis pour les différents sous-ensembles (2 ici) définis en fonction des variables significatives restantes. Ils sont reportés dans le tableau suivant pour plus de lisibilité :</w:t>
      </w:r>
    </w:p>
    <w:tbl>
      <w:tblPr>
        <w:tblStyle w:val="Grilledutableau"/>
        <w:tblW w:w="10456" w:type="dxa"/>
        <w:tblLook w:val="04A0" w:firstRow="1" w:lastRow="0" w:firstColumn="1" w:lastColumn="0" w:noHBand="0" w:noVBand="1"/>
      </w:tblPr>
      <w:tblGrid>
        <w:gridCol w:w="3485"/>
        <w:gridCol w:w="3485"/>
        <w:gridCol w:w="3486"/>
      </w:tblGrid>
      <w:tr w:rsidR="006065C3" w14:paraId="13825D55" w14:textId="77777777" w:rsidTr="004255C4">
        <w:tc>
          <w:tcPr>
            <w:tcW w:w="3485" w:type="dxa"/>
            <w:shd w:val="clear" w:color="auto" w:fill="auto"/>
            <w:vAlign w:val="center"/>
          </w:tcPr>
          <w:p w14:paraId="5B4DB395" w14:textId="337F5504" w:rsidR="006065C3" w:rsidRDefault="006065C3" w:rsidP="004255C4">
            <w:pPr>
              <w:spacing w:after="0" w:line="240" w:lineRule="auto"/>
              <w:jc w:val="center"/>
            </w:pPr>
          </w:p>
        </w:tc>
        <w:tc>
          <w:tcPr>
            <w:tcW w:w="3485" w:type="dxa"/>
            <w:shd w:val="clear" w:color="auto" w:fill="auto"/>
            <w:vAlign w:val="center"/>
          </w:tcPr>
          <w:p w14:paraId="4EEF37E4" w14:textId="7BE2C6B2" w:rsidR="006065C3" w:rsidRDefault="006065C3" w:rsidP="004255C4">
            <w:pPr>
              <w:spacing w:after="0" w:line="240" w:lineRule="auto"/>
              <w:jc w:val="center"/>
              <w:rPr>
                <w:b/>
              </w:rPr>
            </w:pPr>
            <w:r>
              <w:rPr>
                <w:b/>
              </w:rPr>
              <w:t>Médiane observée</w:t>
            </w:r>
          </w:p>
        </w:tc>
        <w:tc>
          <w:tcPr>
            <w:tcW w:w="3486" w:type="dxa"/>
            <w:shd w:val="clear" w:color="auto" w:fill="auto"/>
            <w:vAlign w:val="center"/>
          </w:tcPr>
          <w:p w14:paraId="4A3FFAB9" w14:textId="064254C6" w:rsidR="006065C3" w:rsidRDefault="006065C3" w:rsidP="004255C4">
            <w:pPr>
              <w:spacing w:after="0" w:line="240" w:lineRule="auto"/>
              <w:jc w:val="center"/>
              <w:rPr>
                <w:b/>
              </w:rPr>
            </w:pPr>
            <w:r>
              <w:rPr>
                <w:b/>
              </w:rPr>
              <w:t>Médiane calculée</w:t>
            </w:r>
          </w:p>
        </w:tc>
      </w:tr>
      <w:tr w:rsidR="006065C3" w14:paraId="2139FA7E" w14:textId="77777777" w:rsidTr="004255C4">
        <w:tc>
          <w:tcPr>
            <w:tcW w:w="3485" w:type="dxa"/>
            <w:shd w:val="clear" w:color="auto" w:fill="auto"/>
            <w:vAlign w:val="center"/>
          </w:tcPr>
          <w:p w14:paraId="0B433C5B" w14:textId="68008DAD" w:rsidR="006065C3" w:rsidRDefault="006065C3" w:rsidP="004255C4">
            <w:pPr>
              <w:spacing w:after="0" w:line="240" w:lineRule="auto"/>
              <w:jc w:val="center"/>
              <w:rPr>
                <w:b/>
              </w:rPr>
            </w:pPr>
            <w:r>
              <w:rPr>
                <w:b/>
              </w:rPr>
              <w:t>Référence (D1+D2)</w:t>
            </w:r>
          </w:p>
        </w:tc>
        <w:tc>
          <w:tcPr>
            <w:tcW w:w="3485" w:type="dxa"/>
            <w:shd w:val="clear" w:color="auto" w:fill="auto"/>
            <w:vAlign w:val="center"/>
          </w:tcPr>
          <w:p w14:paraId="2D6F248F" w14:textId="187CC0EF" w:rsidR="006065C3" w:rsidRDefault="006065C3" w:rsidP="004255C4">
            <w:pPr>
              <w:spacing w:after="0" w:line="240" w:lineRule="auto"/>
              <w:jc w:val="center"/>
            </w:pPr>
            <w:r>
              <w:t>29,75</w:t>
            </w:r>
          </w:p>
        </w:tc>
        <w:tc>
          <w:tcPr>
            <w:tcW w:w="3486" w:type="dxa"/>
            <w:shd w:val="clear" w:color="auto" w:fill="auto"/>
            <w:vAlign w:val="center"/>
          </w:tcPr>
          <w:p w14:paraId="1BDA4FF4" w14:textId="5E50ED4A" w:rsidR="006065C3" w:rsidRDefault="006065C3" w:rsidP="004255C4">
            <w:pPr>
              <w:spacing w:after="0" w:line="240" w:lineRule="auto"/>
              <w:jc w:val="center"/>
            </w:pPr>
            <w:r>
              <w:t>22,42</w:t>
            </w:r>
          </w:p>
        </w:tc>
      </w:tr>
      <w:tr w:rsidR="006065C3" w14:paraId="0019FBCD" w14:textId="77777777" w:rsidTr="004255C4">
        <w:tc>
          <w:tcPr>
            <w:tcW w:w="3485" w:type="dxa"/>
            <w:shd w:val="clear" w:color="auto" w:fill="auto"/>
            <w:vAlign w:val="center"/>
          </w:tcPr>
          <w:p w14:paraId="484B65C0" w14:textId="01E3A031" w:rsidR="006065C3" w:rsidRDefault="006065C3" w:rsidP="004255C4">
            <w:pPr>
              <w:spacing w:after="0" w:line="240" w:lineRule="auto"/>
              <w:jc w:val="center"/>
              <w:rPr>
                <w:b/>
              </w:rPr>
            </w:pPr>
            <w:r>
              <w:rPr>
                <w:b/>
              </w:rPr>
              <w:t>D0</w:t>
            </w:r>
          </w:p>
        </w:tc>
        <w:tc>
          <w:tcPr>
            <w:tcW w:w="3485" w:type="dxa"/>
            <w:shd w:val="clear" w:color="auto" w:fill="auto"/>
            <w:vAlign w:val="center"/>
          </w:tcPr>
          <w:p w14:paraId="0F8B5683" w14:textId="20D59F06" w:rsidR="006065C3" w:rsidRDefault="006065C3" w:rsidP="004255C4">
            <w:pPr>
              <w:spacing w:after="0" w:line="240" w:lineRule="auto"/>
              <w:jc w:val="center"/>
            </w:pPr>
            <w:r>
              <w:t>6,10</w:t>
            </w:r>
          </w:p>
        </w:tc>
        <w:tc>
          <w:tcPr>
            <w:tcW w:w="3486" w:type="dxa"/>
            <w:shd w:val="clear" w:color="auto" w:fill="auto"/>
            <w:vAlign w:val="center"/>
          </w:tcPr>
          <w:p w14:paraId="6F82984F" w14:textId="212FAD19" w:rsidR="006065C3" w:rsidRDefault="006065C3" w:rsidP="004255C4">
            <w:pPr>
              <w:spacing w:after="0" w:line="240" w:lineRule="auto"/>
              <w:jc w:val="center"/>
            </w:pPr>
            <w:r>
              <w:t>5,06</w:t>
            </w:r>
          </w:p>
        </w:tc>
      </w:tr>
    </w:tbl>
    <w:p w14:paraId="7FDD8690" w14:textId="63834AA4" w:rsidR="006065C3" w:rsidRDefault="006065C3" w:rsidP="006065C3">
      <w:pPr>
        <w:jc w:val="both"/>
      </w:pPr>
    </w:p>
    <w:p w14:paraId="3ED37315" w14:textId="32079146" w:rsidR="006065C3" w:rsidRDefault="006065C3" w:rsidP="006065C3">
      <w:pPr>
        <w:jc w:val="both"/>
      </w:pPr>
      <w:r>
        <w:t>On retrouve bien les résultats calculés manuellement à partir des « estimate ».</w:t>
      </w:r>
      <w:r w:rsidR="0055240E">
        <w:t xml:space="preserve"> L’intérêt est de pouvoir demander à l’</w:t>
      </w:r>
      <w:r w:rsidR="007C56BF">
        <w:t>outil de fournir un</w:t>
      </w:r>
      <w:r w:rsidR="0055240E">
        <w:t xml:space="preserve"> percentile </w:t>
      </w:r>
      <w:r w:rsidR="007C56BF">
        <w:t>différent de</w:t>
      </w:r>
      <w:r w:rsidR="0055240E">
        <w:t xml:space="preserve"> la médiane.</w:t>
      </w:r>
    </w:p>
    <w:p w14:paraId="70805120" w14:textId="77777777" w:rsidR="006065C3" w:rsidRDefault="006065C3" w:rsidP="006065C3">
      <w:pPr>
        <w:jc w:val="both"/>
      </w:pPr>
      <w:r>
        <w:t>Enfin, les trois dernières colonnes fournissent des informations statistiques correspondant respectivement à la variance et aux bornes d’estimation inférieures et supérieures du percentile théorique.</w:t>
      </w:r>
    </w:p>
    <w:p w14:paraId="4B3C4C94" w14:textId="77777777" w:rsidR="006065C3" w:rsidRDefault="006065C3" w:rsidP="006065C3">
      <w:pPr>
        <w:jc w:val="both"/>
      </w:pPr>
      <w:r>
        <w:t xml:space="preserve">Des différences peuvent exister entre les percentiles observés et calculés, liées à la qualité de l’estimation réalisée par le modèle. Ces différences sont susceptibles d’apparaitre et peuvent s’expliquer par des différences de dispersion entre les sous-ensembles ou par les effectifs (trop restreints) de certains sous-ensembles. </w:t>
      </w:r>
    </w:p>
    <w:p w14:paraId="6352B13D" w14:textId="06AFEF47" w:rsidR="006065C3" w:rsidRDefault="006065C3" w:rsidP="006065C3">
      <w:pPr>
        <w:jc w:val="both"/>
      </w:pPr>
      <w:r>
        <w:t>Il est nécessaire dans cette situation-là de réaliser un tableau de contingence pour identifier les effectifs de chaque catégorie. Par exemple, dans un cas où l’outil identifie un effet significatif conjoint du type de dispositif (en distinguant D0 par rapport aux deux autres), de l’âge et du taux de charge sur le paramètre MES :</w:t>
      </w:r>
    </w:p>
    <w:p w14:paraId="267B3A3B" w14:textId="6075AF31" w:rsidR="00DE5AE3" w:rsidRDefault="00DE5AE3" w:rsidP="006065C3">
      <w:pPr>
        <w:jc w:val="both"/>
      </w:pPr>
    </w:p>
    <w:p w14:paraId="1DCEC8C3" w14:textId="20F8B224" w:rsidR="00DE5AE3" w:rsidRDefault="00DE5AE3" w:rsidP="006065C3">
      <w:pPr>
        <w:jc w:val="both"/>
      </w:pPr>
    </w:p>
    <w:p w14:paraId="7FD6C59F" w14:textId="77777777" w:rsidR="00DE5AE3" w:rsidRDefault="00DE5AE3" w:rsidP="006065C3">
      <w:pPr>
        <w:jc w:val="both"/>
      </w:pPr>
    </w:p>
    <w:tbl>
      <w:tblPr>
        <w:tblStyle w:val="Grilledutableau"/>
        <w:tblW w:w="10341" w:type="dxa"/>
        <w:tblLook w:val="04A0" w:firstRow="1" w:lastRow="0" w:firstColumn="1" w:lastColumn="0" w:noHBand="0" w:noVBand="1"/>
      </w:tblPr>
      <w:tblGrid>
        <w:gridCol w:w="2068"/>
        <w:gridCol w:w="2068"/>
        <w:gridCol w:w="2068"/>
        <w:gridCol w:w="2068"/>
        <w:gridCol w:w="2069"/>
      </w:tblGrid>
      <w:tr w:rsidR="006065C3" w14:paraId="75DB3A44" w14:textId="77777777" w:rsidTr="004255C4">
        <w:trPr>
          <w:trHeight w:val="576"/>
        </w:trPr>
        <w:tc>
          <w:tcPr>
            <w:tcW w:w="2068" w:type="dxa"/>
            <w:vMerge w:val="restart"/>
            <w:shd w:val="clear" w:color="auto" w:fill="auto"/>
            <w:vAlign w:val="center"/>
          </w:tcPr>
          <w:p w14:paraId="76666B71" w14:textId="77777777" w:rsidR="006065C3" w:rsidRDefault="006065C3" w:rsidP="004255C4">
            <w:pPr>
              <w:spacing w:after="0" w:line="240" w:lineRule="auto"/>
              <w:jc w:val="center"/>
            </w:pPr>
            <w:r>
              <w:lastRenderedPageBreak/>
              <w:t>Nombre de données</w:t>
            </w:r>
          </w:p>
        </w:tc>
        <w:tc>
          <w:tcPr>
            <w:tcW w:w="4136" w:type="dxa"/>
            <w:gridSpan w:val="2"/>
            <w:shd w:val="clear" w:color="auto" w:fill="auto"/>
            <w:vAlign w:val="center"/>
          </w:tcPr>
          <w:p w14:paraId="5234B8AC" w14:textId="77777777" w:rsidR="006065C3" w:rsidRDefault="006065C3" w:rsidP="004255C4">
            <w:pPr>
              <w:spacing w:after="0" w:line="240" w:lineRule="auto"/>
              <w:jc w:val="center"/>
              <w:rPr>
                <w:b/>
              </w:rPr>
            </w:pPr>
            <w:r>
              <w:rPr>
                <w:b/>
              </w:rPr>
              <w:t>Taux de charge &lt; 70%</w:t>
            </w:r>
          </w:p>
        </w:tc>
        <w:tc>
          <w:tcPr>
            <w:tcW w:w="4137" w:type="dxa"/>
            <w:gridSpan w:val="2"/>
            <w:shd w:val="clear" w:color="auto" w:fill="auto"/>
            <w:vAlign w:val="center"/>
          </w:tcPr>
          <w:p w14:paraId="4B9D8A9B" w14:textId="77777777" w:rsidR="006065C3" w:rsidRDefault="006065C3" w:rsidP="004255C4">
            <w:pPr>
              <w:spacing w:after="0" w:line="240" w:lineRule="auto"/>
              <w:jc w:val="center"/>
              <w:rPr>
                <w:b/>
              </w:rPr>
            </w:pPr>
            <w:r>
              <w:rPr>
                <w:b/>
              </w:rPr>
              <w:t>Taux de charge &gt; 70%</w:t>
            </w:r>
          </w:p>
        </w:tc>
      </w:tr>
      <w:tr w:rsidR="006065C3" w14:paraId="2F5AA206" w14:textId="77777777" w:rsidTr="004255C4">
        <w:trPr>
          <w:trHeight w:val="576"/>
        </w:trPr>
        <w:tc>
          <w:tcPr>
            <w:tcW w:w="2068" w:type="dxa"/>
            <w:vMerge/>
            <w:shd w:val="clear" w:color="auto" w:fill="auto"/>
            <w:vAlign w:val="center"/>
          </w:tcPr>
          <w:p w14:paraId="76573A5C" w14:textId="77777777" w:rsidR="006065C3" w:rsidRDefault="006065C3" w:rsidP="004255C4">
            <w:pPr>
              <w:spacing w:after="0" w:line="240" w:lineRule="auto"/>
              <w:jc w:val="center"/>
            </w:pPr>
          </w:p>
        </w:tc>
        <w:tc>
          <w:tcPr>
            <w:tcW w:w="2068" w:type="dxa"/>
            <w:shd w:val="clear" w:color="auto" w:fill="auto"/>
            <w:vAlign w:val="center"/>
          </w:tcPr>
          <w:p w14:paraId="0B66DEC6" w14:textId="77777777" w:rsidR="006065C3" w:rsidRDefault="006065C3" w:rsidP="004255C4">
            <w:pPr>
              <w:spacing w:after="0" w:line="240" w:lineRule="auto"/>
              <w:jc w:val="center"/>
              <w:rPr>
                <w:b/>
              </w:rPr>
            </w:pPr>
            <w:r>
              <w:rPr>
                <w:b/>
              </w:rPr>
              <w:t>Âge &lt; 2 ans</w:t>
            </w:r>
          </w:p>
        </w:tc>
        <w:tc>
          <w:tcPr>
            <w:tcW w:w="2068" w:type="dxa"/>
            <w:shd w:val="clear" w:color="auto" w:fill="auto"/>
            <w:vAlign w:val="center"/>
          </w:tcPr>
          <w:p w14:paraId="047D1572" w14:textId="77777777" w:rsidR="006065C3" w:rsidRDefault="006065C3" w:rsidP="004255C4">
            <w:pPr>
              <w:spacing w:after="0" w:line="240" w:lineRule="auto"/>
              <w:jc w:val="center"/>
              <w:rPr>
                <w:b/>
              </w:rPr>
            </w:pPr>
            <w:r>
              <w:rPr>
                <w:b/>
              </w:rPr>
              <w:t>Âge &gt; 2 ans</w:t>
            </w:r>
          </w:p>
        </w:tc>
        <w:tc>
          <w:tcPr>
            <w:tcW w:w="2068" w:type="dxa"/>
            <w:shd w:val="clear" w:color="auto" w:fill="auto"/>
            <w:vAlign w:val="center"/>
          </w:tcPr>
          <w:p w14:paraId="4DAC5CC7" w14:textId="77777777" w:rsidR="006065C3" w:rsidRDefault="006065C3" w:rsidP="004255C4">
            <w:pPr>
              <w:spacing w:after="0" w:line="240" w:lineRule="auto"/>
              <w:jc w:val="center"/>
              <w:rPr>
                <w:b/>
              </w:rPr>
            </w:pPr>
            <w:r>
              <w:rPr>
                <w:b/>
              </w:rPr>
              <w:t>Âge &lt; 2 ans</w:t>
            </w:r>
          </w:p>
        </w:tc>
        <w:tc>
          <w:tcPr>
            <w:tcW w:w="2069" w:type="dxa"/>
            <w:shd w:val="clear" w:color="auto" w:fill="auto"/>
            <w:vAlign w:val="center"/>
          </w:tcPr>
          <w:p w14:paraId="68701821" w14:textId="77777777" w:rsidR="006065C3" w:rsidRDefault="006065C3" w:rsidP="004255C4">
            <w:pPr>
              <w:spacing w:after="0" w:line="240" w:lineRule="auto"/>
              <w:jc w:val="center"/>
              <w:rPr>
                <w:b/>
              </w:rPr>
            </w:pPr>
            <w:r>
              <w:rPr>
                <w:b/>
              </w:rPr>
              <w:t>Âge &gt; 2 ans</w:t>
            </w:r>
          </w:p>
        </w:tc>
      </w:tr>
      <w:tr w:rsidR="006065C3" w14:paraId="73DB1015" w14:textId="77777777" w:rsidTr="004255C4">
        <w:trPr>
          <w:trHeight w:val="576"/>
        </w:trPr>
        <w:tc>
          <w:tcPr>
            <w:tcW w:w="2068" w:type="dxa"/>
            <w:shd w:val="clear" w:color="auto" w:fill="auto"/>
            <w:vAlign w:val="center"/>
          </w:tcPr>
          <w:p w14:paraId="43069992" w14:textId="77777777" w:rsidR="006065C3" w:rsidRDefault="006065C3" w:rsidP="004255C4">
            <w:pPr>
              <w:spacing w:after="0" w:line="240" w:lineRule="auto"/>
              <w:jc w:val="center"/>
              <w:rPr>
                <w:b/>
              </w:rPr>
            </w:pPr>
            <w:r>
              <w:rPr>
                <w:b/>
              </w:rPr>
              <w:t>D0</w:t>
            </w:r>
          </w:p>
        </w:tc>
        <w:tc>
          <w:tcPr>
            <w:tcW w:w="2068" w:type="dxa"/>
            <w:shd w:val="clear" w:color="auto" w:fill="auto"/>
            <w:vAlign w:val="center"/>
          </w:tcPr>
          <w:p w14:paraId="6F3E4443" w14:textId="77777777" w:rsidR="006065C3" w:rsidRDefault="006065C3" w:rsidP="004255C4">
            <w:pPr>
              <w:spacing w:after="0" w:line="240" w:lineRule="auto"/>
              <w:jc w:val="center"/>
            </w:pPr>
            <w:r>
              <w:t>15</w:t>
            </w:r>
          </w:p>
        </w:tc>
        <w:tc>
          <w:tcPr>
            <w:tcW w:w="2068" w:type="dxa"/>
            <w:shd w:val="clear" w:color="auto" w:fill="auto"/>
            <w:vAlign w:val="center"/>
          </w:tcPr>
          <w:p w14:paraId="42CDB075" w14:textId="77777777" w:rsidR="006065C3" w:rsidRDefault="006065C3" w:rsidP="004255C4">
            <w:pPr>
              <w:spacing w:after="0" w:line="240" w:lineRule="auto"/>
              <w:jc w:val="center"/>
            </w:pPr>
            <w:r>
              <w:rPr>
                <w:color w:val="FF0000"/>
              </w:rPr>
              <w:t>6</w:t>
            </w:r>
          </w:p>
        </w:tc>
        <w:tc>
          <w:tcPr>
            <w:tcW w:w="2068" w:type="dxa"/>
            <w:shd w:val="clear" w:color="auto" w:fill="auto"/>
            <w:vAlign w:val="center"/>
          </w:tcPr>
          <w:p w14:paraId="67F7448E" w14:textId="77777777" w:rsidR="006065C3" w:rsidRDefault="006065C3" w:rsidP="004255C4">
            <w:pPr>
              <w:spacing w:after="0" w:line="240" w:lineRule="auto"/>
              <w:jc w:val="center"/>
            </w:pPr>
            <w:r>
              <w:t>18</w:t>
            </w:r>
          </w:p>
        </w:tc>
        <w:tc>
          <w:tcPr>
            <w:tcW w:w="2069" w:type="dxa"/>
            <w:shd w:val="clear" w:color="auto" w:fill="auto"/>
            <w:vAlign w:val="center"/>
          </w:tcPr>
          <w:p w14:paraId="140DE371" w14:textId="77777777" w:rsidR="006065C3" w:rsidRDefault="006065C3" w:rsidP="004255C4">
            <w:pPr>
              <w:spacing w:after="0" w:line="240" w:lineRule="auto"/>
              <w:jc w:val="center"/>
            </w:pPr>
            <w:r>
              <w:rPr>
                <w:color w:val="FF0000"/>
              </w:rPr>
              <w:t>3</w:t>
            </w:r>
          </w:p>
        </w:tc>
      </w:tr>
      <w:tr w:rsidR="006065C3" w14:paraId="206F76C0" w14:textId="77777777" w:rsidTr="004255C4">
        <w:trPr>
          <w:trHeight w:val="554"/>
        </w:trPr>
        <w:tc>
          <w:tcPr>
            <w:tcW w:w="2068" w:type="dxa"/>
            <w:shd w:val="clear" w:color="auto" w:fill="auto"/>
            <w:vAlign w:val="center"/>
          </w:tcPr>
          <w:p w14:paraId="3604F203" w14:textId="77777777" w:rsidR="006065C3" w:rsidRDefault="006065C3" w:rsidP="004255C4">
            <w:pPr>
              <w:spacing w:after="0" w:line="240" w:lineRule="auto"/>
              <w:jc w:val="center"/>
              <w:rPr>
                <w:b/>
              </w:rPr>
            </w:pPr>
            <w:r>
              <w:rPr>
                <w:b/>
              </w:rPr>
              <w:t>(D1 + D2)</w:t>
            </w:r>
          </w:p>
        </w:tc>
        <w:tc>
          <w:tcPr>
            <w:tcW w:w="2068" w:type="dxa"/>
            <w:shd w:val="clear" w:color="auto" w:fill="auto"/>
            <w:vAlign w:val="center"/>
          </w:tcPr>
          <w:p w14:paraId="76C524A5" w14:textId="77777777" w:rsidR="006065C3" w:rsidRDefault="006065C3" w:rsidP="004255C4">
            <w:pPr>
              <w:spacing w:after="0" w:line="240" w:lineRule="auto"/>
              <w:jc w:val="center"/>
            </w:pPr>
            <w:r>
              <w:t>34</w:t>
            </w:r>
          </w:p>
        </w:tc>
        <w:tc>
          <w:tcPr>
            <w:tcW w:w="2068" w:type="dxa"/>
            <w:shd w:val="clear" w:color="auto" w:fill="auto"/>
            <w:vAlign w:val="center"/>
          </w:tcPr>
          <w:p w14:paraId="041BB9B1" w14:textId="77777777" w:rsidR="006065C3" w:rsidRDefault="006065C3" w:rsidP="004255C4">
            <w:pPr>
              <w:spacing w:after="0" w:line="240" w:lineRule="auto"/>
              <w:jc w:val="center"/>
            </w:pPr>
            <w:r>
              <w:t>20</w:t>
            </w:r>
          </w:p>
        </w:tc>
        <w:tc>
          <w:tcPr>
            <w:tcW w:w="2068" w:type="dxa"/>
            <w:shd w:val="clear" w:color="auto" w:fill="auto"/>
            <w:vAlign w:val="center"/>
          </w:tcPr>
          <w:p w14:paraId="36AF7692" w14:textId="77777777" w:rsidR="006065C3" w:rsidRDefault="006065C3" w:rsidP="004255C4">
            <w:pPr>
              <w:spacing w:after="0" w:line="240" w:lineRule="auto"/>
              <w:jc w:val="center"/>
            </w:pPr>
            <w:r>
              <w:t>27</w:t>
            </w:r>
          </w:p>
        </w:tc>
        <w:tc>
          <w:tcPr>
            <w:tcW w:w="2069" w:type="dxa"/>
            <w:shd w:val="clear" w:color="auto" w:fill="auto"/>
            <w:vAlign w:val="center"/>
          </w:tcPr>
          <w:p w14:paraId="04648C85" w14:textId="77777777" w:rsidR="006065C3" w:rsidRDefault="006065C3" w:rsidP="004255C4">
            <w:pPr>
              <w:spacing w:after="0" w:line="240" w:lineRule="auto"/>
              <w:jc w:val="center"/>
            </w:pPr>
            <w:r>
              <w:t>23</w:t>
            </w:r>
          </w:p>
        </w:tc>
      </w:tr>
    </w:tbl>
    <w:p w14:paraId="6F2B7292" w14:textId="77777777" w:rsidR="006065C3" w:rsidRDefault="006065C3" w:rsidP="006065C3">
      <w:pPr>
        <w:spacing w:before="240" w:after="0" w:line="276" w:lineRule="auto"/>
        <w:jc w:val="both"/>
        <w:rPr>
          <w:rFonts w:cstheme="minorHAnsi"/>
        </w:rPr>
      </w:pPr>
      <w:r>
        <w:t xml:space="preserve">On voit que deux catégories sont représentées par un nombre très faible de données (en rouge). La notion de taille minimale en statistiques est complexe et </w:t>
      </w:r>
      <w:r>
        <w:rPr>
          <w:szCs w:val="16"/>
        </w:rPr>
        <w:t>30</w:t>
      </w:r>
      <w:r>
        <w:rPr>
          <w:sz w:val="18"/>
          <w:szCs w:val="16"/>
        </w:rPr>
        <w:t xml:space="preserve"> </w:t>
      </w:r>
      <w:r>
        <w:rPr>
          <w:szCs w:val="16"/>
        </w:rPr>
        <w:t>unités est la plus petite taille d’échantillon répondant à la loi des grands nombres. Cette règle empirique est retenue unanimement par la communauté des statisticiens pour construire les plans d’expériences</w:t>
      </w:r>
      <w:r>
        <w:rPr>
          <w:sz w:val="20"/>
          <w:szCs w:val="16"/>
        </w:rPr>
        <w:t>.</w:t>
      </w:r>
      <w:r>
        <w:rPr>
          <w:rFonts w:cstheme="minorHAnsi"/>
        </w:rPr>
        <w:t xml:space="preserve"> Pour des échantillons d’effectif restreint, il convient d’exercer un regard critique mais l’analyse par l’outil est possible. </w:t>
      </w:r>
    </w:p>
    <w:p w14:paraId="70D74E89" w14:textId="77777777" w:rsidR="006065C3" w:rsidRDefault="006065C3" w:rsidP="006065C3">
      <w:pPr>
        <w:spacing w:after="0" w:line="276" w:lineRule="auto"/>
        <w:jc w:val="both"/>
      </w:pPr>
      <w:r>
        <w:rPr>
          <w:rFonts w:cstheme="minorHAnsi"/>
        </w:rPr>
        <w:t xml:space="preserve">A titre informatif, l’analyse réalisée lors du suivi </w:t>
      </w:r>
      <w:r>
        <w:rPr>
          <w:rFonts w:cstheme="minorHAnsi"/>
          <w:i/>
        </w:rPr>
        <w:t>in situ</w:t>
      </w:r>
      <w:r>
        <w:rPr>
          <w:rFonts w:cstheme="minorHAnsi"/>
        </w:rPr>
        <w:t xml:space="preserve"> avait permis de retenir une taille de 13 valeurs minimum, cette valeur étant déterminée par essais-erreurs.</w:t>
      </w:r>
    </w:p>
    <w:p w14:paraId="769B3104" w14:textId="77777777" w:rsidR="006065C3" w:rsidRDefault="006065C3">
      <w:pPr>
        <w:jc w:val="both"/>
      </w:pPr>
    </w:p>
    <w:p w14:paraId="0AEBF5F5" w14:textId="0F1D6096" w:rsidR="00D435FE" w:rsidRDefault="0073434D" w:rsidP="00AA2A10">
      <w:pPr>
        <w:pStyle w:val="Titre2"/>
      </w:pPr>
      <w:bookmarkStart w:id="17" w:name="_Toc63065735"/>
      <w:r>
        <w:t xml:space="preserve">Autre exemple avec des </w:t>
      </w:r>
      <w:r w:rsidR="005936AB">
        <w:t>effets conjoints, c’est à dire plusieurs effets simultanés</w:t>
      </w:r>
      <w:r>
        <w:t xml:space="preserve"> identifiés</w:t>
      </w:r>
      <w:bookmarkEnd w:id="17"/>
    </w:p>
    <w:p w14:paraId="40C3F617" w14:textId="3F6239FE" w:rsidR="0073434D" w:rsidRDefault="0073434D">
      <w:pPr>
        <w:jc w:val="both"/>
      </w:pPr>
      <w:r>
        <w:t>L’exemple développé plus haut étant relativement simple, un nouveau cas est détaillé ici pour</w:t>
      </w:r>
      <w:r w:rsidR="005D0054">
        <w:t xml:space="preserve"> assurer</w:t>
      </w:r>
      <w:r>
        <w:t xml:space="preserve"> une bonne compréhension de l’analyse des résultats.</w:t>
      </w:r>
    </w:p>
    <w:p w14:paraId="722E09B7" w14:textId="12D89C61" w:rsidR="0073434D" w:rsidRDefault="0073434D">
      <w:pPr>
        <w:jc w:val="both"/>
      </w:pPr>
      <w:r>
        <w:t>Les variables explicatives sont les mêmes mais l’outil est utilisé sur un nouveau jeu de données.</w:t>
      </w:r>
    </w:p>
    <w:p w14:paraId="1AF3ECFD" w14:textId="3FD68AE0" w:rsidR="0073434D" w:rsidRDefault="0073434D">
      <w:pPr>
        <w:jc w:val="both"/>
      </w:pPr>
      <w:r>
        <w:t>Voici le résultat final du test réalisé sur le paramètre MES :</w:t>
      </w:r>
    </w:p>
    <w:p w14:paraId="396551FC" w14:textId="77777777" w:rsidR="0073434D" w:rsidRDefault="0073434D" w:rsidP="0073434D">
      <w:pPr>
        <w:pStyle w:val="PrformatHTML"/>
        <w:shd w:val="clear" w:color="auto" w:fill="FFFFFF"/>
        <w:rPr>
          <w:rStyle w:val="gd15mcfceub"/>
          <w:rFonts w:ascii="Lucida Console" w:hAnsi="Lucida Console"/>
          <w:color w:val="000000"/>
          <w:lang w:val="es-ES"/>
        </w:rPr>
      </w:pPr>
      <w:r>
        <w:rPr>
          <w:rStyle w:val="gd15mcfceub"/>
          <w:rFonts w:ascii="Lucida Console" w:hAnsi="Lucida Console"/>
          <w:color w:val="000000"/>
          <w:lang w:val="es-ES"/>
        </w:rPr>
        <w:t xml:space="preserve">Dependent variable :  MES </w:t>
      </w:r>
    </w:p>
    <w:p w14:paraId="7F06F913" w14:textId="77777777" w:rsidR="0073434D" w:rsidRDefault="0073434D" w:rsidP="0073434D">
      <w:pPr>
        <w:pStyle w:val="PrformatHTML"/>
        <w:shd w:val="clear" w:color="auto" w:fill="FFFFFF"/>
        <w:rPr>
          <w:rStyle w:val="gd15mcfceub"/>
          <w:rFonts w:ascii="Lucida Console" w:hAnsi="Lucida Console"/>
          <w:color w:val="000000"/>
          <w:lang w:val="es-ES"/>
        </w:rPr>
      </w:pPr>
      <w:r>
        <w:rPr>
          <w:rStyle w:val="gd15mcfceub"/>
          <w:rFonts w:ascii="Lucida Console" w:hAnsi="Lucida Console"/>
          <w:color w:val="000000"/>
          <w:lang w:val="es-ES"/>
        </w:rPr>
        <w:t xml:space="preserve">Label                 Estimate      Std. Dev.    Ref           Chi2  DF       Pval </w:t>
      </w:r>
    </w:p>
    <w:p w14:paraId="498E4783" w14:textId="77777777" w:rsidR="0073434D" w:rsidRDefault="0073434D" w:rsidP="0073434D">
      <w:pPr>
        <w:pStyle w:val="PrformatHTML"/>
        <w:shd w:val="clear" w:color="auto" w:fill="FFFFFF"/>
        <w:rPr>
          <w:rStyle w:val="gd15mcfceub"/>
          <w:rFonts w:ascii="Lucida Console" w:hAnsi="Lucida Console"/>
          <w:color w:val="000000"/>
          <w:lang w:val="es-ES"/>
        </w:rPr>
      </w:pPr>
      <w:r>
        <w:rPr>
          <w:rStyle w:val="gd15mcfceub"/>
          <w:rFonts w:ascii="Lucida Console" w:hAnsi="Lucida Console"/>
          <w:color w:val="000000"/>
          <w:lang w:val="es-ES"/>
        </w:rPr>
        <w:t xml:space="preserve">beta0               2.2062e+00     1.0535e-01      0     4.3854e+02   1     0.0000 </w:t>
      </w:r>
    </w:p>
    <w:p w14:paraId="725A3EEF" w14:textId="7F531055" w:rsidR="0073434D" w:rsidRDefault="0073434D" w:rsidP="0073434D">
      <w:pPr>
        <w:pStyle w:val="PrformatHTML"/>
        <w:shd w:val="clear" w:color="auto" w:fill="FFFFFF"/>
        <w:rPr>
          <w:rStyle w:val="gd15mcfceub"/>
          <w:rFonts w:ascii="Lucida Console" w:hAnsi="Lucida Console"/>
          <w:color w:val="000000"/>
          <w:lang w:val="es-ES"/>
        </w:rPr>
      </w:pPr>
      <w:r>
        <w:rPr>
          <w:rStyle w:val="gd15mcfceub"/>
          <w:rFonts w:ascii="Lucida Console" w:hAnsi="Lucida Console"/>
          <w:color w:val="000000"/>
          <w:lang w:val="es-ES"/>
        </w:rPr>
        <w:t xml:space="preserve">D1                 -6.4239e-01     1.2062e-01      0     2.8364e+01   1     </w:t>
      </w:r>
      <w:r>
        <w:rPr>
          <w:rStyle w:val="gd15mcfceub"/>
          <w:rFonts w:ascii="Lucida Console" w:hAnsi="Lucida Console"/>
          <w:color w:val="000000"/>
          <w:highlight w:val="yellow"/>
          <w:lang w:val="es-ES"/>
        </w:rPr>
        <w:t xml:space="preserve">0.0000 </w:t>
      </w:r>
    </w:p>
    <w:p w14:paraId="0B2D4892" w14:textId="4AE56439" w:rsidR="0073434D" w:rsidRDefault="005530D8" w:rsidP="0073434D">
      <w:pPr>
        <w:pStyle w:val="PrformatHTML"/>
        <w:shd w:val="clear" w:color="auto" w:fill="FFFFFF"/>
        <w:rPr>
          <w:rStyle w:val="gd15mcfceub"/>
          <w:rFonts w:ascii="Lucida Console" w:hAnsi="Lucida Console"/>
          <w:color w:val="000000"/>
          <w:lang w:val="es-ES"/>
        </w:rPr>
      </w:pPr>
      <w:r>
        <w:rPr>
          <w:rStyle w:val="gd15mcfceub"/>
          <w:rFonts w:ascii="Lucida Console" w:hAnsi="Lucida Console"/>
          <w:color w:val="000000"/>
          <w:lang w:val="es-ES"/>
        </w:rPr>
        <w:t>sup</w:t>
      </w:r>
      <w:r w:rsidR="0073434D">
        <w:rPr>
          <w:rStyle w:val="gd15mcfceub"/>
          <w:rFonts w:ascii="Lucida Console" w:hAnsi="Lucida Console"/>
          <w:color w:val="000000"/>
          <w:lang w:val="es-ES"/>
        </w:rPr>
        <w:t xml:space="preserve">70pct            7.3304e-01     1.2595e-01      0     3.3871e+01   1     </w:t>
      </w:r>
      <w:r w:rsidR="0073434D">
        <w:rPr>
          <w:rStyle w:val="gd15mcfceub"/>
          <w:rFonts w:ascii="Lucida Console" w:hAnsi="Lucida Console"/>
          <w:color w:val="000000"/>
          <w:highlight w:val="yellow"/>
          <w:lang w:val="es-ES"/>
        </w:rPr>
        <w:t xml:space="preserve">0.0000 </w:t>
      </w:r>
    </w:p>
    <w:p w14:paraId="6345B253" w14:textId="77777777" w:rsidR="0073434D" w:rsidRDefault="0073434D" w:rsidP="0073434D">
      <w:pPr>
        <w:pStyle w:val="PrformatHTML"/>
        <w:shd w:val="clear" w:color="auto" w:fill="FFFFFF"/>
        <w:rPr>
          <w:rStyle w:val="gd15mcfceub"/>
          <w:rFonts w:ascii="Lucida Console" w:hAnsi="Lucida Console"/>
          <w:color w:val="000000"/>
          <w:lang w:val="es-ES"/>
        </w:rPr>
      </w:pPr>
      <w:r>
        <w:rPr>
          <w:rStyle w:val="gd15mcfceub"/>
          <w:rFonts w:ascii="Lucida Console" w:hAnsi="Lucida Console"/>
          <w:color w:val="000000"/>
          <w:lang w:val="es-ES"/>
        </w:rPr>
        <w:t xml:space="preserve">gamma0              9.5772e-02     6.7283e-02      0     2.0261e+00   1     0.1546 </w:t>
      </w:r>
    </w:p>
    <w:p w14:paraId="03D6F738" w14:textId="4F6B3FEF" w:rsidR="0073434D" w:rsidRPr="0073434D" w:rsidRDefault="0073434D" w:rsidP="0073434D">
      <w:pPr>
        <w:pStyle w:val="PrformatHTML"/>
        <w:shd w:val="clear" w:color="auto" w:fill="FFFFFF"/>
        <w:rPr>
          <w:rStyle w:val="gd15mcfceub"/>
          <w:rFonts w:ascii="Lucida Console" w:hAnsi="Lucida Console"/>
          <w:color w:val="000000"/>
          <w:lang w:val="es-ES"/>
        </w:rPr>
      </w:pPr>
      <w:r w:rsidRPr="0073434D">
        <w:rPr>
          <w:rStyle w:val="gd15mcfceub"/>
          <w:rFonts w:ascii="Lucida Console" w:hAnsi="Lucida Console"/>
          <w:color w:val="000000"/>
          <w:lang w:val="es-ES"/>
        </w:rPr>
        <w:t xml:space="preserve">D1                 -6.0292e-01     1.0864e-01      0     3.0797e+01   1     </w:t>
      </w:r>
      <w:r w:rsidRPr="0073434D">
        <w:rPr>
          <w:rStyle w:val="gd15mcfceub"/>
          <w:rFonts w:ascii="Lucida Console" w:hAnsi="Lucida Console"/>
          <w:color w:val="000000"/>
          <w:highlight w:val="yellow"/>
          <w:lang w:val="es-ES"/>
        </w:rPr>
        <w:t xml:space="preserve">0.0000 </w:t>
      </w:r>
    </w:p>
    <w:p w14:paraId="144932D9" w14:textId="2772E516" w:rsidR="00D435FE" w:rsidRDefault="00D43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p>
    <w:p w14:paraId="57305904" w14:textId="7E267CC0"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
        <w:t>L’outil identifie un e</w:t>
      </w:r>
      <w:r w:rsidR="0073434D">
        <w:t xml:space="preserve">ffet conjoint du dispositif et du taux de charge </w:t>
      </w:r>
      <w:r>
        <w:t xml:space="preserve">sur la médiane, ainsi qu’un effet du </w:t>
      </w:r>
      <w:r>
        <w:br/>
      </w:r>
      <w:r w:rsidR="0073434D">
        <w:t>dispositif</w:t>
      </w:r>
      <w:r>
        <w:t xml:space="preserve"> sur la dispersion (avec une moindre dispersion obtenue </w:t>
      </w:r>
      <w:r w:rsidR="0073434D">
        <w:t>avec le dispositif 1</w:t>
      </w:r>
      <w:r>
        <w:t>).</w:t>
      </w:r>
    </w:p>
    <w:p w14:paraId="74D3D268" w14:textId="77777777" w:rsidR="00D435FE" w:rsidRDefault="00D43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7D3BC575" w14:textId="43856229" w:rsidR="00D435FE" w:rsidRDefault="005936AB">
      <w:pPr>
        <w:spacing w:line="276" w:lineRule="auto"/>
        <w:jc w:val="both"/>
        <w:rPr>
          <w:rFonts w:cs="Arial"/>
          <w:iCs/>
          <w:szCs w:val="20"/>
          <w:vertAlign w:val="superscript"/>
        </w:rPr>
      </w:pPr>
      <w:r>
        <w:t xml:space="preserve">Les médianes calculées par l’outil peuvent être retrouvées à partir des premières lignes de la colonne « estimate » (jusqu’à gamma0) de ce tableau de résultats, qui correspondent aux coefficients </w:t>
      </w:r>
      <w:r>
        <w:rPr>
          <w:rFonts w:cs="Arial"/>
          <w:iCs/>
          <w:szCs w:val="20"/>
        </w:rPr>
        <w:t>β</w:t>
      </w:r>
      <w:r>
        <w:rPr>
          <w:rFonts w:cs="Arial"/>
          <w:iCs/>
          <w:szCs w:val="20"/>
          <w:vertAlign w:val="subscript"/>
        </w:rPr>
        <w:t>1</w:t>
      </w:r>
      <w:r>
        <w:rPr>
          <w:rFonts w:cs="Arial"/>
          <w:iCs/>
          <w:szCs w:val="20"/>
        </w:rPr>
        <w:t>, β</w:t>
      </w:r>
      <w:r>
        <w:rPr>
          <w:rFonts w:cs="Arial"/>
          <w:iCs/>
          <w:szCs w:val="20"/>
          <w:vertAlign w:val="subscript"/>
        </w:rPr>
        <w:t>2</w:t>
      </w:r>
      <w:r>
        <w:rPr>
          <w:rFonts w:cs="Arial"/>
          <w:iCs/>
          <w:szCs w:val="20"/>
        </w:rPr>
        <w:t xml:space="preserve">, … </w:t>
      </w:r>
    </w:p>
    <w:p w14:paraId="79130612" w14:textId="79140ED4" w:rsidR="00D435FE" w:rsidRDefault="005936AB">
      <w:pPr>
        <w:spacing w:line="276" w:lineRule="auto"/>
        <w:jc w:val="both"/>
        <w:rPr>
          <w:rFonts w:cs="Arial"/>
          <w:i/>
          <w:iCs/>
          <w:szCs w:val="20"/>
        </w:rPr>
      </w:pPr>
      <w:r>
        <w:rPr>
          <w:rFonts w:cs="Arial"/>
          <w:iCs/>
          <w:szCs w:val="20"/>
        </w:rPr>
        <w:t xml:space="preserve">Par exemple, la médiane calculée pour les données correspondant </w:t>
      </w:r>
      <w:r w:rsidR="0073434D">
        <w:rPr>
          <w:rFonts w:cs="Arial"/>
          <w:iCs/>
          <w:szCs w:val="20"/>
        </w:rPr>
        <w:t xml:space="preserve">au dispositif D1 pour des taux de charge </w:t>
      </w:r>
      <w:r w:rsidR="005530D8">
        <w:rPr>
          <w:rFonts w:cs="Arial"/>
          <w:iCs/>
          <w:szCs w:val="20"/>
        </w:rPr>
        <w:t>supérieurs</w:t>
      </w:r>
      <w:r w:rsidR="0073434D">
        <w:rPr>
          <w:rFonts w:cs="Arial"/>
          <w:iCs/>
          <w:szCs w:val="20"/>
        </w:rPr>
        <w:t xml:space="preserve"> à 70 % est</w:t>
      </w:r>
      <w:r>
        <w:rPr>
          <w:rFonts w:cs="Arial"/>
          <w:iCs/>
          <w:szCs w:val="20"/>
        </w:rPr>
        <w:t xml:space="preserve"> : </w:t>
      </w:r>
      <w:r>
        <w:rPr>
          <w:rFonts w:cs="Arial"/>
          <w:i/>
          <w:iCs/>
          <w:szCs w:val="20"/>
        </w:rPr>
        <w:t xml:space="preserve"> e</w:t>
      </w:r>
      <w:r w:rsidR="0073434D">
        <w:rPr>
          <w:rFonts w:cs="Arial"/>
          <w:iCs/>
          <w:szCs w:val="20"/>
          <w:vertAlign w:val="superscript"/>
        </w:rPr>
        <w:t xml:space="preserve"> β0 + </w:t>
      </w:r>
      <w:r w:rsidR="001F07AF">
        <w:rPr>
          <w:rFonts w:cs="Arial"/>
          <w:iCs/>
          <w:szCs w:val="20"/>
          <w:vertAlign w:val="superscript"/>
        </w:rPr>
        <w:t>β</w:t>
      </w:r>
      <w:r w:rsidR="0073434D">
        <w:rPr>
          <w:rFonts w:cs="Arial"/>
          <w:iCs/>
          <w:szCs w:val="20"/>
          <w:vertAlign w:val="superscript"/>
        </w:rPr>
        <w:t>D1+ β</w:t>
      </w:r>
      <w:r w:rsidR="005D0054">
        <w:rPr>
          <w:rFonts w:cs="Arial"/>
          <w:iCs/>
          <w:szCs w:val="20"/>
          <w:vertAlign w:val="superscript"/>
        </w:rPr>
        <w:t>sup</w:t>
      </w:r>
      <w:r w:rsidR="0073434D">
        <w:rPr>
          <w:rFonts w:cs="Arial"/>
          <w:iCs/>
          <w:szCs w:val="20"/>
          <w:vertAlign w:val="superscript"/>
        </w:rPr>
        <w:t>70pct</w:t>
      </w:r>
      <w:r>
        <w:rPr>
          <w:rFonts w:cs="Arial"/>
          <w:iCs/>
          <w:szCs w:val="20"/>
          <w:vertAlign w:val="superscript"/>
        </w:rPr>
        <w:t xml:space="preserve"> </w:t>
      </w:r>
      <w:r>
        <w:rPr>
          <w:rFonts w:cs="Arial"/>
          <w:iCs/>
          <w:szCs w:val="20"/>
        </w:rPr>
        <w:t xml:space="preserve">= </w:t>
      </w:r>
      <w:r>
        <w:t>e</w:t>
      </w:r>
      <w:r w:rsidR="00335FFA">
        <w:t xml:space="preserve"> </w:t>
      </w:r>
      <w:r>
        <w:rPr>
          <w:vertAlign w:val="superscript"/>
        </w:rPr>
        <w:t>(2,2062-0,64239+0,73304)</w:t>
      </w:r>
      <w:r>
        <w:t xml:space="preserve"> = 9,94</w:t>
      </w:r>
    </w:p>
    <w:p w14:paraId="25E708FF" w14:textId="4D40D8F7" w:rsidR="00D435FE" w:rsidRPr="005530D8" w:rsidRDefault="005936AB" w:rsidP="005530D8">
      <w:pPr>
        <w:spacing w:line="276" w:lineRule="auto"/>
        <w:jc w:val="both"/>
        <w:rPr>
          <w:rFonts w:cs="Arial"/>
          <w:i/>
          <w:iCs/>
          <w:szCs w:val="20"/>
        </w:rPr>
      </w:pPr>
      <w:r>
        <w:rPr>
          <w:rFonts w:cs="Arial"/>
          <w:iCs/>
          <w:szCs w:val="20"/>
        </w:rPr>
        <w:t>Ainsi</w:t>
      </w:r>
      <w:r w:rsidR="007F363D">
        <w:rPr>
          <w:rFonts w:cs="Arial"/>
          <w:iCs/>
          <w:szCs w:val="20"/>
        </w:rPr>
        <w:t>,</w:t>
      </w:r>
      <w:r>
        <w:rPr>
          <w:rFonts w:cs="Arial"/>
          <w:iCs/>
          <w:szCs w:val="20"/>
        </w:rPr>
        <w:t xml:space="preserve"> on obtient le tableau suivant :</w:t>
      </w:r>
    </w:p>
    <w:tbl>
      <w:tblPr>
        <w:tblStyle w:val="Grilledutableau"/>
        <w:tblW w:w="9823" w:type="dxa"/>
        <w:jc w:val="center"/>
        <w:tblLook w:val="04A0" w:firstRow="1" w:lastRow="0" w:firstColumn="1" w:lastColumn="0" w:noHBand="0" w:noVBand="1"/>
      </w:tblPr>
      <w:tblGrid>
        <w:gridCol w:w="1555"/>
        <w:gridCol w:w="1275"/>
        <w:gridCol w:w="2835"/>
        <w:gridCol w:w="4158"/>
      </w:tblGrid>
      <w:tr w:rsidR="005530D8" w14:paraId="6AA7BA70" w14:textId="77777777" w:rsidTr="004255C4">
        <w:trPr>
          <w:trHeight w:val="310"/>
          <w:jc w:val="center"/>
        </w:trPr>
        <w:tc>
          <w:tcPr>
            <w:tcW w:w="2830" w:type="dxa"/>
            <w:gridSpan w:val="2"/>
            <w:vMerge w:val="restart"/>
            <w:vAlign w:val="center"/>
          </w:tcPr>
          <w:p w14:paraId="57535E25" w14:textId="77777777" w:rsidR="005530D8" w:rsidRDefault="005530D8" w:rsidP="004255C4">
            <w:pPr>
              <w:spacing w:after="0" w:line="240" w:lineRule="auto"/>
              <w:jc w:val="center"/>
            </w:pPr>
            <w:r>
              <w:t>Médiane calculée</w:t>
            </w:r>
          </w:p>
        </w:tc>
        <w:tc>
          <w:tcPr>
            <w:tcW w:w="6993" w:type="dxa"/>
            <w:gridSpan w:val="2"/>
            <w:shd w:val="clear" w:color="auto" w:fill="D0CECE" w:themeFill="background2" w:themeFillShade="E6"/>
            <w:vAlign w:val="center"/>
          </w:tcPr>
          <w:p w14:paraId="344F8B82" w14:textId="77777777" w:rsidR="005530D8" w:rsidRDefault="005530D8" w:rsidP="004255C4">
            <w:pPr>
              <w:spacing w:after="0" w:line="240" w:lineRule="auto"/>
              <w:jc w:val="center"/>
              <w:rPr>
                <w:b/>
              </w:rPr>
            </w:pPr>
            <w:r>
              <w:rPr>
                <w:b/>
              </w:rPr>
              <w:t>Taux de charge</w:t>
            </w:r>
          </w:p>
        </w:tc>
      </w:tr>
      <w:tr w:rsidR="005530D8" w14:paraId="016B8F62" w14:textId="77777777" w:rsidTr="005530D8">
        <w:trPr>
          <w:trHeight w:val="310"/>
          <w:jc w:val="center"/>
        </w:trPr>
        <w:tc>
          <w:tcPr>
            <w:tcW w:w="2830" w:type="dxa"/>
            <w:gridSpan w:val="2"/>
            <w:vMerge/>
            <w:vAlign w:val="center"/>
          </w:tcPr>
          <w:p w14:paraId="3FA84E14" w14:textId="77777777" w:rsidR="005530D8" w:rsidRDefault="005530D8" w:rsidP="004255C4">
            <w:pPr>
              <w:spacing w:after="0" w:line="240" w:lineRule="auto"/>
              <w:jc w:val="center"/>
            </w:pPr>
          </w:p>
        </w:tc>
        <w:tc>
          <w:tcPr>
            <w:tcW w:w="2835" w:type="dxa"/>
            <w:shd w:val="clear" w:color="auto" w:fill="F2F2F2" w:themeFill="background1" w:themeFillShade="F2"/>
            <w:vAlign w:val="center"/>
          </w:tcPr>
          <w:p w14:paraId="36C8249E" w14:textId="6CB06645" w:rsidR="005530D8" w:rsidRPr="003354B6" w:rsidRDefault="005530D8" w:rsidP="004255C4">
            <w:pPr>
              <w:spacing w:after="0" w:line="240" w:lineRule="auto"/>
              <w:jc w:val="center"/>
            </w:pPr>
            <w:r>
              <w:t>&lt;</w:t>
            </w:r>
            <w:r w:rsidRPr="003354B6">
              <w:t xml:space="preserve"> 70 % (ref)</w:t>
            </w:r>
          </w:p>
        </w:tc>
        <w:tc>
          <w:tcPr>
            <w:tcW w:w="4158" w:type="dxa"/>
            <w:shd w:val="clear" w:color="auto" w:fill="F2F2F2" w:themeFill="background1" w:themeFillShade="F2"/>
            <w:vAlign w:val="center"/>
          </w:tcPr>
          <w:p w14:paraId="37318296" w14:textId="59D58D99" w:rsidR="005530D8" w:rsidRPr="003354B6" w:rsidRDefault="005530D8" w:rsidP="004255C4">
            <w:pPr>
              <w:spacing w:after="0" w:line="240" w:lineRule="auto"/>
              <w:jc w:val="center"/>
            </w:pPr>
            <w:r>
              <w:t>&gt;</w:t>
            </w:r>
            <w:r w:rsidRPr="003354B6">
              <w:t xml:space="preserve"> 70 %</w:t>
            </w:r>
          </w:p>
        </w:tc>
      </w:tr>
      <w:tr w:rsidR="005530D8" w14:paraId="1209DCAC" w14:textId="77777777" w:rsidTr="005530D8">
        <w:trPr>
          <w:trHeight w:val="310"/>
          <w:jc w:val="center"/>
        </w:trPr>
        <w:tc>
          <w:tcPr>
            <w:tcW w:w="1555" w:type="dxa"/>
            <w:vMerge w:val="restart"/>
            <w:shd w:val="clear" w:color="auto" w:fill="D0CECE" w:themeFill="background2" w:themeFillShade="E6"/>
            <w:vAlign w:val="center"/>
          </w:tcPr>
          <w:p w14:paraId="166862BE" w14:textId="77777777" w:rsidR="005530D8" w:rsidRDefault="005530D8" w:rsidP="005530D8">
            <w:pPr>
              <w:spacing w:after="0" w:line="240" w:lineRule="auto"/>
              <w:jc w:val="center"/>
              <w:rPr>
                <w:b/>
              </w:rPr>
            </w:pPr>
            <w:r>
              <w:rPr>
                <w:b/>
              </w:rPr>
              <w:t>Dispositif</w:t>
            </w:r>
          </w:p>
        </w:tc>
        <w:tc>
          <w:tcPr>
            <w:tcW w:w="1275" w:type="dxa"/>
            <w:shd w:val="clear" w:color="auto" w:fill="F2F2F2" w:themeFill="background1" w:themeFillShade="F2"/>
            <w:vAlign w:val="center"/>
          </w:tcPr>
          <w:p w14:paraId="3DA0D915" w14:textId="77777777" w:rsidR="005530D8" w:rsidRPr="003354B6" w:rsidRDefault="005530D8" w:rsidP="005530D8">
            <w:pPr>
              <w:spacing w:after="0" w:line="240" w:lineRule="auto"/>
              <w:jc w:val="center"/>
            </w:pPr>
            <w:r w:rsidRPr="003354B6">
              <w:t>D1</w:t>
            </w:r>
          </w:p>
        </w:tc>
        <w:tc>
          <w:tcPr>
            <w:tcW w:w="2835" w:type="dxa"/>
            <w:shd w:val="clear" w:color="auto" w:fill="auto"/>
            <w:vAlign w:val="center"/>
          </w:tcPr>
          <w:p w14:paraId="5EB4D999" w14:textId="4E6EE8CB" w:rsidR="005530D8" w:rsidRDefault="005530D8" w:rsidP="005530D8">
            <w:pPr>
              <w:spacing w:after="0" w:line="240" w:lineRule="auto"/>
              <w:jc w:val="center"/>
            </w:pPr>
            <w:r>
              <w:rPr>
                <w:rFonts w:cs="Arial"/>
                <w:i/>
                <w:iCs/>
                <w:szCs w:val="20"/>
              </w:rPr>
              <w:t>e</w:t>
            </w:r>
            <w:r>
              <w:rPr>
                <w:rFonts w:cs="Arial"/>
                <w:iCs/>
                <w:szCs w:val="20"/>
                <w:vertAlign w:val="superscript"/>
              </w:rPr>
              <w:t xml:space="preserve"> β0 + βD1  </w:t>
            </w:r>
            <w:r>
              <w:t>= e</w:t>
            </w:r>
            <w:r>
              <w:rPr>
                <w:vertAlign w:val="superscript"/>
              </w:rPr>
              <w:t>(2,2062-0,64239)</w:t>
            </w:r>
            <w:r>
              <w:t xml:space="preserve"> = 4,78</w:t>
            </w:r>
          </w:p>
        </w:tc>
        <w:tc>
          <w:tcPr>
            <w:tcW w:w="4158" w:type="dxa"/>
            <w:shd w:val="clear" w:color="auto" w:fill="auto"/>
            <w:vAlign w:val="center"/>
          </w:tcPr>
          <w:p w14:paraId="5B0CB85E" w14:textId="6CA324E9" w:rsidR="005530D8" w:rsidRDefault="005530D8" w:rsidP="005530D8">
            <w:pPr>
              <w:spacing w:after="0" w:line="240" w:lineRule="auto"/>
              <w:jc w:val="center"/>
            </w:pPr>
            <w:r>
              <w:rPr>
                <w:rFonts w:cs="Arial"/>
                <w:i/>
                <w:iCs/>
                <w:szCs w:val="20"/>
              </w:rPr>
              <w:t>e</w:t>
            </w:r>
            <w:r>
              <w:rPr>
                <w:rFonts w:cs="Arial"/>
                <w:iCs/>
                <w:szCs w:val="20"/>
                <w:vertAlign w:val="superscript"/>
              </w:rPr>
              <w:t xml:space="preserve"> β0 + βD1+ βsup70pct  </w:t>
            </w:r>
            <w:r>
              <w:t>= e</w:t>
            </w:r>
            <w:r>
              <w:rPr>
                <w:vertAlign w:val="superscript"/>
              </w:rPr>
              <w:t>(2,2062-0,64239+0,73304)</w:t>
            </w:r>
            <w:r>
              <w:t xml:space="preserve"> = 9,94</w:t>
            </w:r>
          </w:p>
        </w:tc>
      </w:tr>
      <w:tr w:rsidR="005530D8" w14:paraId="787E0867" w14:textId="77777777" w:rsidTr="005530D8">
        <w:trPr>
          <w:trHeight w:val="310"/>
          <w:jc w:val="center"/>
        </w:trPr>
        <w:tc>
          <w:tcPr>
            <w:tcW w:w="1555" w:type="dxa"/>
            <w:vMerge/>
            <w:shd w:val="clear" w:color="auto" w:fill="D0CECE" w:themeFill="background2" w:themeFillShade="E6"/>
            <w:vAlign w:val="center"/>
          </w:tcPr>
          <w:p w14:paraId="1F6362E4" w14:textId="77777777" w:rsidR="005530D8" w:rsidRDefault="005530D8" w:rsidP="005530D8">
            <w:pPr>
              <w:spacing w:after="0" w:line="240" w:lineRule="auto"/>
              <w:jc w:val="center"/>
              <w:rPr>
                <w:b/>
              </w:rPr>
            </w:pPr>
          </w:p>
        </w:tc>
        <w:tc>
          <w:tcPr>
            <w:tcW w:w="1275" w:type="dxa"/>
            <w:shd w:val="clear" w:color="auto" w:fill="F2F2F2" w:themeFill="background1" w:themeFillShade="F2"/>
            <w:vAlign w:val="center"/>
          </w:tcPr>
          <w:p w14:paraId="42D58557" w14:textId="77777777" w:rsidR="005530D8" w:rsidRPr="003354B6" w:rsidRDefault="005530D8" w:rsidP="005530D8">
            <w:pPr>
              <w:spacing w:after="0" w:line="240" w:lineRule="auto"/>
              <w:jc w:val="center"/>
            </w:pPr>
            <w:r w:rsidRPr="003354B6">
              <w:t>D0+D2 (ref)</w:t>
            </w:r>
          </w:p>
        </w:tc>
        <w:tc>
          <w:tcPr>
            <w:tcW w:w="2835" w:type="dxa"/>
            <w:shd w:val="clear" w:color="auto" w:fill="auto"/>
            <w:vAlign w:val="center"/>
          </w:tcPr>
          <w:p w14:paraId="14694382" w14:textId="5637D063" w:rsidR="005530D8" w:rsidRDefault="005530D8" w:rsidP="005530D8">
            <w:pPr>
              <w:spacing w:after="0" w:line="240" w:lineRule="auto"/>
              <w:jc w:val="center"/>
            </w:pPr>
            <w:r>
              <w:rPr>
                <w:rFonts w:cs="Arial"/>
                <w:i/>
                <w:iCs/>
                <w:szCs w:val="20"/>
              </w:rPr>
              <w:t>e</w:t>
            </w:r>
            <w:r>
              <w:rPr>
                <w:rFonts w:cs="Arial"/>
                <w:iCs/>
                <w:szCs w:val="20"/>
                <w:vertAlign w:val="superscript"/>
              </w:rPr>
              <w:t xml:space="preserve"> β0 </w:t>
            </w:r>
            <w:r>
              <w:t>= e</w:t>
            </w:r>
            <w:r>
              <w:rPr>
                <w:vertAlign w:val="superscript"/>
              </w:rPr>
              <w:t>(2,2062)</w:t>
            </w:r>
            <w:r>
              <w:t xml:space="preserve"> = 9,08</w:t>
            </w:r>
          </w:p>
        </w:tc>
        <w:tc>
          <w:tcPr>
            <w:tcW w:w="4158" w:type="dxa"/>
            <w:shd w:val="clear" w:color="auto" w:fill="auto"/>
            <w:vAlign w:val="center"/>
          </w:tcPr>
          <w:p w14:paraId="254F9118" w14:textId="42866FC6" w:rsidR="005530D8" w:rsidRDefault="005530D8" w:rsidP="005530D8">
            <w:pPr>
              <w:spacing w:after="0" w:line="240" w:lineRule="auto"/>
              <w:jc w:val="center"/>
            </w:pPr>
            <w:r>
              <w:rPr>
                <w:rFonts w:cs="Arial"/>
                <w:i/>
                <w:iCs/>
                <w:szCs w:val="20"/>
              </w:rPr>
              <w:t>e</w:t>
            </w:r>
            <w:r>
              <w:rPr>
                <w:rFonts w:cs="Arial"/>
                <w:iCs/>
                <w:szCs w:val="20"/>
                <w:vertAlign w:val="superscript"/>
              </w:rPr>
              <w:t xml:space="preserve"> β0 + βsup70pct  </w:t>
            </w:r>
            <w:r>
              <w:t>= e</w:t>
            </w:r>
            <w:r>
              <w:rPr>
                <w:vertAlign w:val="superscript"/>
              </w:rPr>
              <w:t>(2,2062+0,73304)</w:t>
            </w:r>
            <w:r>
              <w:t xml:space="preserve"> = 18,9</w:t>
            </w:r>
          </w:p>
        </w:tc>
      </w:tr>
    </w:tbl>
    <w:p w14:paraId="37D30C23" w14:textId="77777777" w:rsidR="005530D8" w:rsidRDefault="005530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p>
    <w:p w14:paraId="2B50E9B7" w14:textId="593BFC42"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szCs w:val="20"/>
          <w:lang w:eastAsia="fr-FR"/>
        </w:rPr>
      </w:pPr>
      <w:r>
        <w:rPr>
          <w:rFonts w:eastAsia="Times New Roman" w:cstheme="minorHAnsi"/>
          <w:color w:val="000000"/>
          <w:szCs w:val="20"/>
          <w:lang w:eastAsia="fr-FR"/>
        </w:rPr>
        <w:t>Le script fournit de plus le tableau suivant contenant les différentes médianes (pour percent=0,5)</w:t>
      </w:r>
      <w:r w:rsidR="007F363D">
        <w:rPr>
          <w:rFonts w:eastAsia="Times New Roman" w:cstheme="minorHAnsi"/>
          <w:color w:val="000000"/>
          <w:szCs w:val="20"/>
          <w:lang w:eastAsia="fr-FR"/>
        </w:rPr>
        <w:t> :</w:t>
      </w:r>
    </w:p>
    <w:p w14:paraId="5A22EB78" w14:textId="445A3301" w:rsidR="00D435FE" w:rsidRDefault="00D435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p>
    <w:p w14:paraId="08B03A35" w14:textId="77777777"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Pr>
          <w:rFonts w:ascii="Lucida Console" w:eastAsia="Times New Roman" w:hAnsi="Lucida Console" w:cs="Courier New"/>
          <w:color w:val="000000"/>
          <w:sz w:val="20"/>
          <w:szCs w:val="20"/>
          <w:lang w:val="en-GB" w:eastAsia="fr-FR"/>
        </w:rPr>
        <w:t>Dependent variable : MES - Table of observed and theoretical 50%-quantiles:</w:t>
      </w:r>
    </w:p>
    <w:p w14:paraId="6BB5AE09" w14:textId="6D6EFF23"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val="en-GB" w:eastAsia="fr-FR"/>
        </w:rPr>
      </w:pPr>
      <w:r>
        <w:rPr>
          <w:rFonts w:ascii="Lucida Console" w:eastAsia="Times New Roman" w:hAnsi="Lucida Console" w:cs="Courier New"/>
          <w:color w:val="000000"/>
          <w:sz w:val="20"/>
          <w:szCs w:val="20"/>
          <w:lang w:val="en-GB" w:eastAsia="fr-FR"/>
        </w:rPr>
        <w:t xml:space="preserve">  </w:t>
      </w:r>
      <w:r w:rsidR="00F17A73">
        <w:rPr>
          <w:rFonts w:ascii="Lucida Console" w:eastAsia="Times New Roman" w:hAnsi="Lucida Console" w:cs="Courier New"/>
          <w:color w:val="000000"/>
          <w:sz w:val="20"/>
          <w:szCs w:val="20"/>
          <w:lang w:val="en-GB" w:eastAsia="fr-FR"/>
        </w:rPr>
        <w:t xml:space="preserve">   </w:t>
      </w:r>
      <w:r>
        <w:rPr>
          <w:rFonts w:ascii="Lucida Console" w:eastAsia="Times New Roman" w:hAnsi="Lucida Console" w:cs="Courier New"/>
          <w:color w:val="000000"/>
          <w:sz w:val="20"/>
          <w:szCs w:val="20"/>
          <w:lang w:val="en-GB" w:eastAsia="fr-FR"/>
        </w:rPr>
        <w:t xml:space="preserve"> </w:t>
      </w:r>
      <w:r w:rsidR="00F17A73">
        <w:rPr>
          <w:rFonts w:ascii="Lucida Console" w:eastAsia="Times New Roman" w:hAnsi="Lucida Console" w:cs="Courier New"/>
          <w:color w:val="000000"/>
          <w:sz w:val="20"/>
          <w:szCs w:val="20"/>
          <w:lang w:val="en-GB" w:eastAsia="fr-FR"/>
        </w:rPr>
        <w:t xml:space="preserve">D1 </w:t>
      </w:r>
      <w:r w:rsidR="005530D8">
        <w:rPr>
          <w:rFonts w:ascii="Lucida Console" w:eastAsia="Times New Roman" w:hAnsi="Lucida Console" w:cs="Courier New"/>
          <w:color w:val="000000"/>
          <w:sz w:val="20"/>
          <w:szCs w:val="20"/>
          <w:lang w:val="en-GB" w:eastAsia="fr-FR"/>
        </w:rPr>
        <w:t>sup</w:t>
      </w:r>
      <w:r w:rsidR="00F17A73">
        <w:rPr>
          <w:rFonts w:ascii="Lucida Console" w:eastAsia="Times New Roman" w:hAnsi="Lucida Console" w:cs="Courier New"/>
          <w:color w:val="000000"/>
          <w:sz w:val="20"/>
          <w:szCs w:val="20"/>
          <w:lang w:val="en-GB" w:eastAsia="fr-FR"/>
        </w:rPr>
        <w:t>70pct</w:t>
      </w:r>
      <w:r>
        <w:rPr>
          <w:rFonts w:ascii="Lucida Console" w:eastAsia="Times New Roman" w:hAnsi="Lucida Console" w:cs="Courier New"/>
          <w:color w:val="000000"/>
          <w:sz w:val="20"/>
          <w:szCs w:val="20"/>
          <w:lang w:val="en-GB" w:eastAsia="fr-FR"/>
        </w:rPr>
        <w:t xml:space="preserve"> nbobs nblce qobs      qcal         vqc      lbqc      ubqc</w:t>
      </w:r>
    </w:p>
    <w:p w14:paraId="33E2849C" w14:textId="21F2EFC2"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 xml:space="preserve">1:    </w:t>
      </w:r>
      <w:r w:rsidR="00F17A73">
        <w:rPr>
          <w:rFonts w:ascii="Lucida Console" w:eastAsia="Times New Roman" w:hAnsi="Lucida Console" w:cs="Courier New"/>
          <w:color w:val="000000"/>
          <w:sz w:val="20"/>
          <w:szCs w:val="20"/>
          <w:lang w:eastAsia="fr-FR"/>
        </w:rPr>
        <w:t xml:space="preserve"> </w:t>
      </w:r>
      <w:r>
        <w:rPr>
          <w:rFonts w:ascii="Lucida Console" w:eastAsia="Times New Roman" w:hAnsi="Lucida Console" w:cs="Courier New"/>
          <w:color w:val="000000"/>
          <w:sz w:val="20"/>
          <w:szCs w:val="20"/>
          <w:lang w:eastAsia="fr-FR"/>
        </w:rPr>
        <w:t xml:space="preserve">0 </w:t>
      </w:r>
      <w:r w:rsidR="00F17A73">
        <w:rPr>
          <w:rFonts w:ascii="Lucida Console" w:eastAsia="Times New Roman" w:hAnsi="Lucida Console" w:cs="Courier New"/>
          <w:color w:val="000000"/>
          <w:sz w:val="20"/>
          <w:szCs w:val="20"/>
          <w:lang w:eastAsia="fr-FR"/>
        </w:rPr>
        <w:t xml:space="preserve"> </w:t>
      </w:r>
      <w:r>
        <w:rPr>
          <w:rFonts w:ascii="Lucida Console" w:eastAsia="Times New Roman" w:hAnsi="Lucida Console" w:cs="Courier New"/>
          <w:color w:val="000000"/>
          <w:sz w:val="20"/>
          <w:szCs w:val="20"/>
          <w:lang w:eastAsia="fr-FR"/>
        </w:rPr>
        <w:t xml:space="preserve"> </w:t>
      </w:r>
      <w:r w:rsidR="00F17A73">
        <w:rPr>
          <w:rFonts w:ascii="Lucida Console" w:eastAsia="Times New Roman" w:hAnsi="Lucida Console" w:cs="Courier New"/>
          <w:color w:val="000000"/>
          <w:sz w:val="20"/>
          <w:szCs w:val="20"/>
          <w:lang w:eastAsia="fr-FR"/>
        </w:rPr>
        <w:t xml:space="preserve">    </w:t>
      </w:r>
      <w:r>
        <w:rPr>
          <w:rFonts w:ascii="Lucida Console" w:eastAsia="Times New Roman" w:hAnsi="Lucida Console" w:cs="Courier New"/>
          <w:color w:val="000000"/>
          <w:sz w:val="20"/>
          <w:szCs w:val="20"/>
          <w:lang w:eastAsia="fr-FR"/>
        </w:rPr>
        <w:t xml:space="preserve"> 0    90     5   10  9.081419 0.011099322  7.387120 11.164320</w:t>
      </w:r>
    </w:p>
    <w:p w14:paraId="14061989" w14:textId="4C3847C4"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2:</w:t>
      </w:r>
      <w:r w:rsidR="00F17A73">
        <w:rPr>
          <w:rFonts w:ascii="Lucida Console" w:eastAsia="Times New Roman" w:hAnsi="Lucida Console" w:cs="Courier New"/>
          <w:color w:val="000000"/>
          <w:sz w:val="20"/>
          <w:szCs w:val="20"/>
          <w:lang w:eastAsia="fr-FR"/>
        </w:rPr>
        <w:t xml:space="preserve">    </w:t>
      </w:r>
      <w:r>
        <w:rPr>
          <w:rFonts w:ascii="Lucida Console" w:eastAsia="Times New Roman" w:hAnsi="Lucida Console" w:cs="Courier New"/>
          <w:color w:val="000000"/>
          <w:sz w:val="20"/>
          <w:szCs w:val="20"/>
          <w:lang w:eastAsia="fr-FR"/>
        </w:rPr>
        <w:t xml:space="preserve"> 0  </w:t>
      </w:r>
      <w:r w:rsidR="00F17A73">
        <w:rPr>
          <w:rFonts w:ascii="Lucida Console" w:eastAsia="Times New Roman" w:hAnsi="Lucida Console" w:cs="Courier New"/>
          <w:color w:val="000000"/>
          <w:sz w:val="20"/>
          <w:szCs w:val="20"/>
          <w:lang w:eastAsia="fr-FR"/>
        </w:rPr>
        <w:t xml:space="preserve">     </w:t>
      </w:r>
      <w:r>
        <w:rPr>
          <w:rFonts w:ascii="Lucida Console" w:eastAsia="Times New Roman" w:hAnsi="Lucida Console" w:cs="Courier New"/>
          <w:color w:val="000000"/>
          <w:sz w:val="20"/>
          <w:szCs w:val="20"/>
          <w:lang w:eastAsia="fr-FR"/>
        </w:rPr>
        <w:t xml:space="preserve"> 1    33     3   24 18.902071 0.018417737 14.487353 24.662083</w:t>
      </w:r>
    </w:p>
    <w:p w14:paraId="490E4D79" w14:textId="38496E21"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3:</w:t>
      </w:r>
      <w:r w:rsidR="00F17A73">
        <w:rPr>
          <w:rFonts w:ascii="Lucida Console" w:eastAsia="Times New Roman" w:hAnsi="Lucida Console" w:cs="Courier New"/>
          <w:color w:val="000000"/>
          <w:sz w:val="20"/>
          <w:szCs w:val="20"/>
          <w:lang w:eastAsia="fr-FR"/>
        </w:rPr>
        <w:t xml:space="preserve">    </w:t>
      </w:r>
      <w:r>
        <w:rPr>
          <w:rFonts w:ascii="Lucida Console" w:eastAsia="Times New Roman" w:hAnsi="Lucida Console" w:cs="Courier New"/>
          <w:color w:val="000000"/>
          <w:sz w:val="20"/>
          <w:szCs w:val="20"/>
          <w:lang w:eastAsia="fr-FR"/>
        </w:rPr>
        <w:t xml:space="preserve"> 1  </w:t>
      </w:r>
      <w:r w:rsidR="00F17A73">
        <w:rPr>
          <w:rFonts w:ascii="Lucida Console" w:eastAsia="Times New Roman" w:hAnsi="Lucida Console" w:cs="Courier New"/>
          <w:color w:val="000000"/>
          <w:sz w:val="20"/>
          <w:szCs w:val="20"/>
          <w:lang w:eastAsia="fr-FR"/>
        </w:rPr>
        <w:t xml:space="preserve">     </w:t>
      </w:r>
      <w:r>
        <w:rPr>
          <w:rFonts w:ascii="Lucida Console" w:eastAsia="Times New Roman" w:hAnsi="Lucida Console" w:cs="Courier New"/>
          <w:color w:val="000000"/>
          <w:sz w:val="20"/>
          <w:szCs w:val="20"/>
          <w:lang w:eastAsia="fr-FR"/>
        </w:rPr>
        <w:t xml:space="preserve"> 0    58     6    5  4.777123 0.005809343  4.114219  5.546836</w:t>
      </w:r>
    </w:p>
    <w:p w14:paraId="44BEF758" w14:textId="62EF0664" w:rsidR="00D435FE" w:rsidRDefault="005936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r>
        <w:rPr>
          <w:rFonts w:ascii="Lucida Console" w:eastAsia="Times New Roman" w:hAnsi="Lucida Console" w:cs="Courier New"/>
          <w:color w:val="000000"/>
          <w:sz w:val="20"/>
          <w:szCs w:val="20"/>
          <w:lang w:eastAsia="fr-FR"/>
        </w:rPr>
        <w:t>4:</w:t>
      </w:r>
      <w:r w:rsidR="00F17A73">
        <w:rPr>
          <w:rFonts w:ascii="Lucida Console" w:eastAsia="Times New Roman" w:hAnsi="Lucida Console" w:cs="Courier New"/>
          <w:color w:val="000000"/>
          <w:sz w:val="20"/>
          <w:szCs w:val="20"/>
          <w:lang w:eastAsia="fr-FR"/>
        </w:rPr>
        <w:t xml:space="preserve">    </w:t>
      </w:r>
      <w:r>
        <w:rPr>
          <w:rFonts w:ascii="Lucida Console" w:eastAsia="Times New Roman" w:hAnsi="Lucida Console" w:cs="Courier New"/>
          <w:color w:val="000000"/>
          <w:sz w:val="20"/>
          <w:szCs w:val="20"/>
          <w:lang w:eastAsia="fr-FR"/>
        </w:rPr>
        <w:t xml:space="preserve"> 1  </w:t>
      </w:r>
      <w:r w:rsidR="00F17A73">
        <w:rPr>
          <w:rFonts w:ascii="Lucida Console" w:eastAsia="Times New Roman" w:hAnsi="Lucida Console" w:cs="Courier New"/>
          <w:color w:val="000000"/>
          <w:sz w:val="20"/>
          <w:szCs w:val="20"/>
          <w:lang w:eastAsia="fr-FR"/>
        </w:rPr>
        <w:t xml:space="preserve">     </w:t>
      </w:r>
      <w:r>
        <w:rPr>
          <w:rFonts w:ascii="Lucida Console" w:eastAsia="Times New Roman" w:hAnsi="Lucida Console" w:cs="Courier New"/>
          <w:color w:val="000000"/>
          <w:sz w:val="20"/>
          <w:szCs w:val="20"/>
          <w:lang w:eastAsia="fr-FR"/>
        </w:rPr>
        <w:t xml:space="preserve"> 1    22     1   10  9.943106 0.012912448  7.957850 12.423627</w:t>
      </w:r>
    </w:p>
    <w:p w14:paraId="06D502D2" w14:textId="34D9F99F" w:rsidR="00465F58" w:rsidRDefault="00465F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Lucida Console" w:eastAsia="Times New Roman" w:hAnsi="Lucida Console" w:cs="Courier New"/>
          <w:color w:val="000000"/>
          <w:sz w:val="20"/>
          <w:szCs w:val="20"/>
          <w:lang w:eastAsia="fr-FR"/>
        </w:rPr>
      </w:pPr>
    </w:p>
    <w:p w14:paraId="6D23C362" w14:textId="77777777" w:rsidR="00D435FE" w:rsidRDefault="00D435FE">
      <w:pPr>
        <w:jc w:val="both"/>
      </w:pPr>
    </w:p>
    <w:p w14:paraId="0313F3AE" w14:textId="1CA81CEF" w:rsidR="00F17A73" w:rsidRDefault="005936AB">
      <w:pPr>
        <w:jc w:val="both"/>
      </w:pPr>
      <w:r>
        <w:t xml:space="preserve">Les </w:t>
      </w:r>
      <w:r w:rsidR="00F17A73">
        <w:t xml:space="preserve">médianes théoriques et calculées par l’outil </w:t>
      </w:r>
      <w:r>
        <w:t xml:space="preserve">sont </w:t>
      </w:r>
      <w:r w:rsidR="005530D8">
        <w:t>fournies</w:t>
      </w:r>
      <w:r>
        <w:t xml:space="preserve"> pour les différents sous-ensembles (4 ici) définis en fonction des variables significatives restantes. </w:t>
      </w:r>
      <w:r w:rsidR="00F17A73">
        <w:t>On obtient donc ici</w:t>
      </w:r>
      <w:r>
        <w:t> :</w:t>
      </w:r>
    </w:p>
    <w:tbl>
      <w:tblPr>
        <w:tblStyle w:val="Grilledutableau"/>
        <w:tblW w:w="9823" w:type="dxa"/>
        <w:jc w:val="center"/>
        <w:tblLook w:val="04A0" w:firstRow="1" w:lastRow="0" w:firstColumn="1" w:lastColumn="0" w:noHBand="0" w:noVBand="1"/>
      </w:tblPr>
      <w:tblGrid>
        <w:gridCol w:w="1555"/>
        <w:gridCol w:w="1417"/>
        <w:gridCol w:w="3969"/>
        <w:gridCol w:w="2882"/>
      </w:tblGrid>
      <w:tr w:rsidR="00586C1F" w14:paraId="3E624389" w14:textId="77777777" w:rsidTr="004255C4">
        <w:trPr>
          <w:trHeight w:val="310"/>
          <w:jc w:val="center"/>
        </w:trPr>
        <w:tc>
          <w:tcPr>
            <w:tcW w:w="2972" w:type="dxa"/>
            <w:gridSpan w:val="2"/>
            <w:vMerge w:val="restart"/>
            <w:vAlign w:val="center"/>
          </w:tcPr>
          <w:p w14:paraId="3AEBC6AC" w14:textId="77777777" w:rsidR="00586C1F" w:rsidRDefault="00586C1F" w:rsidP="004255C4">
            <w:pPr>
              <w:spacing w:after="0" w:line="240" w:lineRule="auto"/>
              <w:jc w:val="center"/>
            </w:pPr>
            <w:r>
              <w:t xml:space="preserve">Médiane observée </w:t>
            </w:r>
            <w:r>
              <w:br/>
              <w:t>(médiane calculée)</w:t>
            </w:r>
          </w:p>
        </w:tc>
        <w:tc>
          <w:tcPr>
            <w:tcW w:w="6851" w:type="dxa"/>
            <w:gridSpan w:val="2"/>
            <w:shd w:val="clear" w:color="auto" w:fill="D0CECE" w:themeFill="background2" w:themeFillShade="E6"/>
            <w:vAlign w:val="center"/>
          </w:tcPr>
          <w:p w14:paraId="02317500" w14:textId="77777777" w:rsidR="00586C1F" w:rsidRDefault="00586C1F" w:rsidP="004255C4">
            <w:pPr>
              <w:spacing w:after="0" w:line="240" w:lineRule="auto"/>
              <w:jc w:val="center"/>
              <w:rPr>
                <w:b/>
              </w:rPr>
            </w:pPr>
            <w:r>
              <w:rPr>
                <w:b/>
              </w:rPr>
              <w:t>Taux de charge</w:t>
            </w:r>
          </w:p>
        </w:tc>
      </w:tr>
      <w:tr w:rsidR="00586C1F" w14:paraId="409851E7" w14:textId="77777777" w:rsidTr="004255C4">
        <w:trPr>
          <w:trHeight w:val="310"/>
          <w:jc w:val="center"/>
        </w:trPr>
        <w:tc>
          <w:tcPr>
            <w:tcW w:w="2972" w:type="dxa"/>
            <w:gridSpan w:val="2"/>
            <w:vMerge/>
            <w:vAlign w:val="center"/>
          </w:tcPr>
          <w:p w14:paraId="5AC5C400" w14:textId="77777777" w:rsidR="00586C1F" w:rsidRDefault="00586C1F" w:rsidP="004255C4">
            <w:pPr>
              <w:spacing w:after="0" w:line="240" w:lineRule="auto"/>
              <w:jc w:val="center"/>
            </w:pPr>
          </w:p>
        </w:tc>
        <w:tc>
          <w:tcPr>
            <w:tcW w:w="3969" w:type="dxa"/>
            <w:shd w:val="clear" w:color="auto" w:fill="F2F2F2" w:themeFill="background1" w:themeFillShade="F2"/>
            <w:vAlign w:val="center"/>
          </w:tcPr>
          <w:p w14:paraId="6FFD0DB0" w14:textId="5C4D1EF0" w:rsidR="00586C1F" w:rsidRPr="003354B6" w:rsidRDefault="00586C1F" w:rsidP="004255C4">
            <w:pPr>
              <w:spacing w:after="0" w:line="240" w:lineRule="auto"/>
              <w:jc w:val="center"/>
            </w:pPr>
            <w:r w:rsidRPr="003354B6">
              <w:t>&lt; 70 %</w:t>
            </w:r>
            <w:r>
              <w:t xml:space="preserve"> (ref)</w:t>
            </w:r>
          </w:p>
        </w:tc>
        <w:tc>
          <w:tcPr>
            <w:tcW w:w="2882" w:type="dxa"/>
            <w:shd w:val="clear" w:color="auto" w:fill="F2F2F2" w:themeFill="background1" w:themeFillShade="F2"/>
            <w:vAlign w:val="center"/>
          </w:tcPr>
          <w:p w14:paraId="5A030309" w14:textId="3FABDA8B" w:rsidR="00586C1F" w:rsidRPr="003354B6" w:rsidRDefault="00586C1F" w:rsidP="00586C1F">
            <w:pPr>
              <w:spacing w:after="0" w:line="240" w:lineRule="auto"/>
              <w:jc w:val="center"/>
            </w:pPr>
            <w:r w:rsidRPr="003354B6">
              <w:t>&gt; 70 %</w:t>
            </w:r>
          </w:p>
        </w:tc>
      </w:tr>
      <w:tr w:rsidR="00586C1F" w14:paraId="65584F32" w14:textId="77777777" w:rsidTr="004255C4">
        <w:trPr>
          <w:trHeight w:val="310"/>
          <w:jc w:val="center"/>
        </w:trPr>
        <w:tc>
          <w:tcPr>
            <w:tcW w:w="1555" w:type="dxa"/>
            <w:vMerge w:val="restart"/>
            <w:shd w:val="clear" w:color="auto" w:fill="D0CECE" w:themeFill="background2" w:themeFillShade="E6"/>
            <w:vAlign w:val="center"/>
          </w:tcPr>
          <w:p w14:paraId="2E8AD865" w14:textId="77777777" w:rsidR="00586C1F" w:rsidRDefault="00586C1F" w:rsidP="00586C1F">
            <w:pPr>
              <w:spacing w:after="0" w:line="240" w:lineRule="auto"/>
              <w:jc w:val="center"/>
              <w:rPr>
                <w:b/>
              </w:rPr>
            </w:pPr>
            <w:r>
              <w:rPr>
                <w:b/>
              </w:rPr>
              <w:t>Dispositif</w:t>
            </w:r>
          </w:p>
        </w:tc>
        <w:tc>
          <w:tcPr>
            <w:tcW w:w="1417" w:type="dxa"/>
            <w:shd w:val="clear" w:color="auto" w:fill="F2F2F2" w:themeFill="background1" w:themeFillShade="F2"/>
            <w:vAlign w:val="center"/>
          </w:tcPr>
          <w:p w14:paraId="1F9C6D7D" w14:textId="77777777" w:rsidR="00586C1F" w:rsidRPr="003354B6" w:rsidRDefault="00586C1F" w:rsidP="00586C1F">
            <w:pPr>
              <w:spacing w:after="0" w:line="240" w:lineRule="auto"/>
              <w:jc w:val="center"/>
            </w:pPr>
            <w:r w:rsidRPr="003354B6">
              <w:t>D1</w:t>
            </w:r>
          </w:p>
        </w:tc>
        <w:tc>
          <w:tcPr>
            <w:tcW w:w="3969" w:type="dxa"/>
            <w:shd w:val="clear" w:color="auto" w:fill="auto"/>
            <w:vAlign w:val="center"/>
          </w:tcPr>
          <w:p w14:paraId="4F21233C" w14:textId="0DF23D1D" w:rsidR="00586C1F" w:rsidRDefault="00586C1F" w:rsidP="00586C1F">
            <w:pPr>
              <w:spacing w:after="0" w:line="240" w:lineRule="auto"/>
              <w:jc w:val="center"/>
            </w:pPr>
            <w:r>
              <w:t>5 (4,777123)</w:t>
            </w:r>
          </w:p>
        </w:tc>
        <w:tc>
          <w:tcPr>
            <w:tcW w:w="2882" w:type="dxa"/>
            <w:shd w:val="clear" w:color="auto" w:fill="auto"/>
            <w:vAlign w:val="center"/>
          </w:tcPr>
          <w:p w14:paraId="455191EF" w14:textId="7B2DAEDA" w:rsidR="00586C1F" w:rsidRDefault="00586C1F" w:rsidP="00586C1F">
            <w:pPr>
              <w:spacing w:after="0" w:line="240" w:lineRule="auto"/>
              <w:jc w:val="center"/>
            </w:pPr>
            <w:r>
              <w:t>10 (9,943106)</w:t>
            </w:r>
          </w:p>
        </w:tc>
      </w:tr>
      <w:tr w:rsidR="00586C1F" w14:paraId="5AEE6CF5" w14:textId="77777777" w:rsidTr="004255C4">
        <w:trPr>
          <w:trHeight w:val="310"/>
          <w:jc w:val="center"/>
        </w:trPr>
        <w:tc>
          <w:tcPr>
            <w:tcW w:w="1555" w:type="dxa"/>
            <w:vMerge/>
            <w:shd w:val="clear" w:color="auto" w:fill="D0CECE" w:themeFill="background2" w:themeFillShade="E6"/>
            <w:vAlign w:val="center"/>
          </w:tcPr>
          <w:p w14:paraId="07E3150C" w14:textId="77777777" w:rsidR="00586C1F" w:rsidRDefault="00586C1F" w:rsidP="00586C1F">
            <w:pPr>
              <w:spacing w:after="0" w:line="240" w:lineRule="auto"/>
              <w:jc w:val="center"/>
              <w:rPr>
                <w:b/>
              </w:rPr>
            </w:pPr>
          </w:p>
        </w:tc>
        <w:tc>
          <w:tcPr>
            <w:tcW w:w="1417" w:type="dxa"/>
            <w:shd w:val="clear" w:color="auto" w:fill="F2F2F2" w:themeFill="background1" w:themeFillShade="F2"/>
            <w:vAlign w:val="center"/>
          </w:tcPr>
          <w:p w14:paraId="2DAB25B5" w14:textId="77777777" w:rsidR="00586C1F" w:rsidRPr="003354B6" w:rsidRDefault="00586C1F" w:rsidP="00586C1F">
            <w:pPr>
              <w:spacing w:after="0" w:line="240" w:lineRule="auto"/>
              <w:jc w:val="center"/>
            </w:pPr>
            <w:r w:rsidRPr="003354B6">
              <w:t>D0+D2 (ref)</w:t>
            </w:r>
          </w:p>
        </w:tc>
        <w:tc>
          <w:tcPr>
            <w:tcW w:w="3969" w:type="dxa"/>
            <w:shd w:val="clear" w:color="auto" w:fill="auto"/>
            <w:vAlign w:val="center"/>
          </w:tcPr>
          <w:p w14:paraId="19D25B03" w14:textId="47BFA90D" w:rsidR="00586C1F" w:rsidRDefault="00586C1F" w:rsidP="00586C1F">
            <w:pPr>
              <w:spacing w:after="0" w:line="240" w:lineRule="auto"/>
              <w:jc w:val="center"/>
            </w:pPr>
            <w:r>
              <w:t>10 (9,081419)</w:t>
            </w:r>
          </w:p>
        </w:tc>
        <w:tc>
          <w:tcPr>
            <w:tcW w:w="2882" w:type="dxa"/>
            <w:shd w:val="clear" w:color="auto" w:fill="auto"/>
            <w:vAlign w:val="center"/>
          </w:tcPr>
          <w:p w14:paraId="35FA35CB" w14:textId="02972CC2" w:rsidR="00586C1F" w:rsidRDefault="00586C1F" w:rsidP="00586C1F">
            <w:pPr>
              <w:spacing w:after="0" w:line="240" w:lineRule="auto"/>
              <w:jc w:val="center"/>
            </w:pPr>
            <w:r>
              <w:t>24 (18,902071)</w:t>
            </w:r>
          </w:p>
        </w:tc>
      </w:tr>
    </w:tbl>
    <w:p w14:paraId="624595DD" w14:textId="77777777" w:rsidR="00586C1F" w:rsidRDefault="00586C1F">
      <w:pPr>
        <w:jc w:val="both"/>
      </w:pPr>
    </w:p>
    <w:p w14:paraId="656E23FF" w14:textId="3373D95D" w:rsidR="005530D8" w:rsidRDefault="007F363D">
      <w:pPr>
        <w:jc w:val="both"/>
      </w:pPr>
      <w:r>
        <w:t>E</w:t>
      </w:r>
      <w:r w:rsidR="007C70E1">
        <w:t>n conclusion</w:t>
      </w:r>
      <w:r>
        <w:t>, l’outil identifie un effet du dispositif et du taux de charge sur le paramètre MES : l</w:t>
      </w:r>
      <w:r w:rsidR="005530D8">
        <w:t xml:space="preserve">es concentrations en MES </w:t>
      </w:r>
      <w:r>
        <w:t>sont</w:t>
      </w:r>
      <w:r w:rsidR="005530D8">
        <w:t xml:space="preserve"> moins élevées avec le dispositif D1, et plus élevées avec un taux de charge supérieur à 70 %.</w:t>
      </w:r>
    </w:p>
    <w:p w14:paraId="7E668A17" w14:textId="3ECC953C" w:rsidR="008973AE" w:rsidRDefault="008973AE">
      <w:pPr>
        <w:jc w:val="both"/>
      </w:pPr>
    </w:p>
    <w:p w14:paraId="304D7D2B" w14:textId="5C46667A" w:rsidR="008973AE" w:rsidRDefault="008973AE" w:rsidP="008973AE">
      <w:pPr>
        <w:pStyle w:val="Titre1"/>
      </w:pPr>
      <w:bookmarkStart w:id="18" w:name="_Toc63065736"/>
      <w:r>
        <w:t xml:space="preserve">Utilisation de la version </w:t>
      </w:r>
      <w:r w:rsidR="001B3C27">
        <w:t>développée sous R-</w:t>
      </w:r>
      <w:r>
        <w:t>Shiny</w:t>
      </w:r>
      <w:bookmarkEnd w:id="18"/>
    </w:p>
    <w:p w14:paraId="74B3C3C6" w14:textId="2F6A7678" w:rsidR="008973AE" w:rsidRDefault="008973AE" w:rsidP="008973AE">
      <w:pPr>
        <w:pStyle w:val="Titre1"/>
        <w:numPr>
          <w:ilvl w:val="0"/>
          <w:numId w:val="0"/>
        </w:numPr>
        <w:ind w:left="720" w:hanging="360"/>
      </w:pPr>
    </w:p>
    <w:p w14:paraId="2693FD91" w14:textId="3FB0FCDA" w:rsidR="00010188" w:rsidRDefault="00010188" w:rsidP="008973AE">
      <w:r>
        <w:t>Le script du modèle présenté plus haut a également été adapté sous la forme d’une « Shiny App », c’est-à-dire une application web interactive.</w:t>
      </w:r>
    </w:p>
    <w:p w14:paraId="224FB708" w14:textId="06FDC1D9" w:rsidR="008973AE" w:rsidRDefault="00010188" w:rsidP="008973AE">
      <w:r>
        <w:t xml:space="preserve">Elle est accessible aux personnes munies d’un identifiant Irstea depuis </w:t>
      </w:r>
      <w:hyperlink r:id="rId13" w:history="1">
        <w:r w:rsidRPr="00FB58C2">
          <w:rPr>
            <w:rStyle w:val="Lienhypertexte"/>
          </w:rPr>
          <w:t>https://gitlab.irstea.fr/</w:t>
        </w:r>
      </w:hyperlink>
      <w:r>
        <w:t xml:space="preserve"> </w:t>
      </w:r>
    </w:p>
    <w:p w14:paraId="50024CFD" w14:textId="6E299F65" w:rsidR="00010188" w:rsidRPr="00AA2A10" w:rsidRDefault="00010188" w:rsidP="008973AE">
      <w:r>
        <w:t>L’application présente une interface plus agréable à utiliser que le script brut bien que le principe reste le même. Le premier onglet « tutorial » présente la marche à suivre pour la faire fonctionner.</w:t>
      </w:r>
    </w:p>
    <w:p w14:paraId="4985E275" w14:textId="5E377B2B" w:rsidR="008973AE" w:rsidRDefault="001D0CFB">
      <w:pPr>
        <w:jc w:val="both"/>
      </w:pPr>
      <w:r w:rsidRPr="001D0CFB">
        <w:rPr>
          <w:noProof/>
          <w:lang w:eastAsia="fr-FR"/>
        </w:rPr>
        <w:drawing>
          <wp:inline distT="0" distB="0" distL="0" distR="0" wp14:anchorId="117D1C68" wp14:editId="79F085D7">
            <wp:extent cx="5467350" cy="4671133"/>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88580" cy="4689271"/>
                    </a:xfrm>
                    <a:prstGeom prst="rect">
                      <a:avLst/>
                    </a:prstGeom>
                  </pic:spPr>
                </pic:pic>
              </a:graphicData>
            </a:graphic>
          </wp:inline>
        </w:drawing>
      </w:r>
    </w:p>
    <w:p w14:paraId="7A1B0D01" w14:textId="7B62485E" w:rsidR="0099792D" w:rsidRDefault="00010188">
      <w:pPr>
        <w:jc w:val="both"/>
      </w:pPr>
      <w:r>
        <w:t xml:space="preserve">Un exemple d’utilisation est développé ci-dessous. Il s’agit du même que </w:t>
      </w:r>
      <w:r w:rsidR="001E16E4">
        <w:t>celui développé dans la partie « utilisation du modèle ».</w:t>
      </w:r>
    </w:p>
    <w:p w14:paraId="13F0E21C" w14:textId="77777777" w:rsidR="0099792D" w:rsidRDefault="0099792D">
      <w:pPr>
        <w:jc w:val="both"/>
      </w:pPr>
      <w:r>
        <w:lastRenderedPageBreak/>
        <w:t>Les premières étapes permettent de créer la DataTable utilisée dans le modèle en :</w:t>
      </w:r>
    </w:p>
    <w:p w14:paraId="7266F436" w14:textId="77777777" w:rsidR="0099792D" w:rsidRDefault="0099792D" w:rsidP="0099792D">
      <w:pPr>
        <w:pStyle w:val="Paragraphedeliste"/>
        <w:numPr>
          <w:ilvl w:val="0"/>
          <w:numId w:val="13"/>
        </w:numPr>
        <w:jc w:val="both"/>
      </w:pPr>
      <w:r>
        <w:t xml:space="preserve">téléchargeant le fichier csv contenant les données, </w:t>
      </w:r>
    </w:p>
    <w:p w14:paraId="17DAB512" w14:textId="77777777" w:rsidR="0099792D" w:rsidRDefault="0099792D" w:rsidP="0099792D">
      <w:pPr>
        <w:pStyle w:val="Paragraphedeliste"/>
        <w:numPr>
          <w:ilvl w:val="0"/>
          <w:numId w:val="13"/>
        </w:numPr>
        <w:jc w:val="both"/>
      </w:pPr>
      <w:r>
        <w:t xml:space="preserve">sélectionnant le paramètre à étudier parmi les colonnes du fichier, </w:t>
      </w:r>
    </w:p>
    <w:p w14:paraId="7CA050B8" w14:textId="77777777" w:rsidR="0099792D" w:rsidRDefault="0099792D" w:rsidP="0099792D">
      <w:pPr>
        <w:pStyle w:val="Paragraphedeliste"/>
        <w:numPr>
          <w:ilvl w:val="0"/>
          <w:numId w:val="13"/>
        </w:numPr>
        <w:jc w:val="both"/>
      </w:pPr>
      <w:r>
        <w:t xml:space="preserve">renseignant la limite de quantification liée à ce paramètre, </w:t>
      </w:r>
    </w:p>
    <w:p w14:paraId="101B00F4" w14:textId="007DFEB0" w:rsidR="009738EC" w:rsidRDefault="0099792D" w:rsidP="0099792D">
      <w:pPr>
        <w:pStyle w:val="Paragraphedeliste"/>
        <w:numPr>
          <w:ilvl w:val="0"/>
          <w:numId w:val="13"/>
        </w:numPr>
        <w:jc w:val="both"/>
      </w:pPr>
      <w:r>
        <w:t>et enfin en complétant un tableau décrivant les modalités des variables explicatives (hors ensemble de référence) à étudier.</w:t>
      </w:r>
    </w:p>
    <w:p w14:paraId="61070196" w14:textId="22A5FCBB" w:rsidR="0099792D" w:rsidRDefault="0099792D" w:rsidP="0099792D">
      <w:pPr>
        <w:jc w:val="both"/>
      </w:pPr>
      <w:r>
        <w:t>La capture d’écran ci-dessous montre les différents champs complétés pour correspondre à l’exemple développé, soit l’étude de l’impact sur la concentration en NTK (limite de quantification = 1,0 mg/L) des variables explicatives suivantes :</w:t>
      </w:r>
    </w:p>
    <w:p w14:paraId="64D4C868" w14:textId="77777777" w:rsidR="0099792D" w:rsidRDefault="0099792D" w:rsidP="0099792D">
      <w:pPr>
        <w:pStyle w:val="Paragraphedeliste"/>
        <w:numPr>
          <w:ilvl w:val="0"/>
          <w:numId w:val="14"/>
        </w:numPr>
        <w:jc w:val="both"/>
      </w:pPr>
      <w:r>
        <w:t>Le dispositif (D0, D1 ou D2) ;</w:t>
      </w:r>
    </w:p>
    <w:p w14:paraId="521933B8" w14:textId="77777777" w:rsidR="0099792D" w:rsidRDefault="0099792D" w:rsidP="0099792D">
      <w:pPr>
        <w:pStyle w:val="Paragraphedeliste"/>
        <w:numPr>
          <w:ilvl w:val="0"/>
          <w:numId w:val="14"/>
        </w:numPr>
        <w:jc w:val="both"/>
      </w:pPr>
      <w:r>
        <w:t>L’âge de l’installation au moment du prélèvement (&lt; 2 ans ou &gt; 2 ans) ;</w:t>
      </w:r>
    </w:p>
    <w:p w14:paraId="2BE1EFF0" w14:textId="1D76A864" w:rsidR="0099792D" w:rsidRDefault="0099792D" w:rsidP="0099792D">
      <w:pPr>
        <w:pStyle w:val="Paragraphedeliste"/>
        <w:numPr>
          <w:ilvl w:val="0"/>
          <w:numId w:val="14"/>
        </w:numPr>
        <w:jc w:val="both"/>
      </w:pPr>
      <w:r>
        <w:t>Le taux de charge de l’installation (&lt; 70 % ou &gt; 70 %).</w:t>
      </w:r>
    </w:p>
    <w:p w14:paraId="70259228" w14:textId="31F26940" w:rsidR="0099792D" w:rsidRDefault="0099792D" w:rsidP="0099792D">
      <w:pPr>
        <w:jc w:val="both"/>
      </w:pPr>
      <w:r>
        <w:rPr>
          <w:rFonts w:cs="Arial"/>
          <w:iCs/>
          <w:szCs w:val="20"/>
        </w:rPr>
        <w:t>L’ensemble de référence correspond aux modalités</w:t>
      </w:r>
      <w:r w:rsidR="00B72C68">
        <w:rPr>
          <w:rFonts w:cs="Arial"/>
          <w:iCs/>
          <w:szCs w:val="20"/>
        </w:rPr>
        <w:t xml:space="preserve"> : </w:t>
      </w:r>
      <w:r>
        <w:rPr>
          <w:rFonts w:cs="Arial"/>
          <w:iCs/>
          <w:szCs w:val="20"/>
        </w:rPr>
        <w:t>D0 pour le dispositif, « &gt; 2 ans » pour l’âge et « &gt; 70% » pour la charge.</w:t>
      </w:r>
    </w:p>
    <w:p w14:paraId="3BA4770C" w14:textId="5B3BF0D1" w:rsidR="009738EC" w:rsidRDefault="008E62DD">
      <w:pPr>
        <w:jc w:val="both"/>
      </w:pPr>
      <w:r>
        <w:t>Une fois les champs remplis, le bouton « Create » permet de créer la DataTable.</w:t>
      </w:r>
    </w:p>
    <w:p w14:paraId="00B5DCF1" w14:textId="77DB4970" w:rsidR="009738EC" w:rsidRDefault="001D0CFB">
      <w:pPr>
        <w:jc w:val="both"/>
      </w:pPr>
      <w:r w:rsidRPr="001D0CFB">
        <w:rPr>
          <w:noProof/>
          <w:lang w:eastAsia="fr-FR"/>
        </w:rPr>
        <w:drawing>
          <wp:inline distT="0" distB="0" distL="0" distR="0" wp14:anchorId="329D50BD" wp14:editId="582F30A9">
            <wp:extent cx="5912154" cy="5829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12154" cy="5829600"/>
                    </a:xfrm>
                    <a:prstGeom prst="rect">
                      <a:avLst/>
                    </a:prstGeom>
                  </pic:spPr>
                </pic:pic>
              </a:graphicData>
            </a:graphic>
          </wp:inline>
        </w:drawing>
      </w:r>
    </w:p>
    <w:p w14:paraId="745F1988" w14:textId="39E7CE57" w:rsidR="008E62DD" w:rsidRDefault="008E62DD">
      <w:pPr>
        <w:jc w:val="both"/>
      </w:pPr>
      <w:r>
        <w:t>L’utilisateur peut contrôler la DataTable créée dans l’onglet « Data Table » comme on le voit ci-dessous :</w:t>
      </w:r>
    </w:p>
    <w:p w14:paraId="03C89AFD" w14:textId="1912D84A" w:rsidR="003E0353" w:rsidRDefault="003E0353">
      <w:pPr>
        <w:jc w:val="both"/>
      </w:pPr>
      <w:r w:rsidRPr="003E0353">
        <w:rPr>
          <w:noProof/>
          <w:lang w:eastAsia="fr-FR"/>
        </w:rPr>
        <w:lastRenderedPageBreak/>
        <w:drawing>
          <wp:inline distT="0" distB="0" distL="0" distR="0" wp14:anchorId="36214D8F" wp14:editId="36A949A1">
            <wp:extent cx="4769095" cy="594390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69095" cy="5943905"/>
                    </a:xfrm>
                    <a:prstGeom prst="rect">
                      <a:avLst/>
                    </a:prstGeom>
                  </pic:spPr>
                </pic:pic>
              </a:graphicData>
            </a:graphic>
          </wp:inline>
        </w:drawing>
      </w:r>
    </w:p>
    <w:p w14:paraId="03005F5D" w14:textId="3E95AC5C" w:rsidR="008E62DD" w:rsidRDefault="008E62DD">
      <w:pPr>
        <w:jc w:val="both"/>
      </w:pPr>
      <w:r>
        <w:t>Enfin, il est possible de sélectionner les modalités à prendre en compte dans le modèle au niveau du panneau de gauche : « </w:t>
      </w:r>
      <w:r w:rsidR="00780DAC">
        <w:t>E</w:t>
      </w:r>
      <w:r>
        <w:t>ffects on median » et « </w:t>
      </w:r>
      <w:r w:rsidR="00780DAC">
        <w:t>E</w:t>
      </w:r>
      <w:r>
        <w:t>ffects on dispersion ».</w:t>
      </w:r>
    </w:p>
    <w:p w14:paraId="7153F965" w14:textId="74961473" w:rsidR="008E62DD" w:rsidRDefault="008E62DD">
      <w:pPr>
        <w:jc w:val="both"/>
      </w:pPr>
      <w:r>
        <w:t>Une fois les modalités sélectionnées, l’utilisateur doit cliquer sur le bouton « </w:t>
      </w:r>
      <w:r w:rsidR="00780DAC">
        <w:t>S</w:t>
      </w:r>
      <w:r>
        <w:t>how result » pour lancer le programme et les résultats apparaitront dans l’onglet « Results »</w:t>
      </w:r>
      <w:r w:rsidR="00E23350">
        <w:t>.</w:t>
      </w:r>
    </w:p>
    <w:p w14:paraId="5FDCA5C5" w14:textId="79F7967C" w:rsidR="00E23350" w:rsidRDefault="00E23350">
      <w:pPr>
        <w:jc w:val="both"/>
      </w:pPr>
    </w:p>
    <w:p w14:paraId="14FAC455" w14:textId="1EB2A76D" w:rsidR="00E23350" w:rsidRDefault="00E23350">
      <w:pPr>
        <w:jc w:val="both"/>
      </w:pPr>
      <w:r>
        <w:t>Le quantile renvoyé par l’outil pour les distributions observées et calculées est également modifiable (il est par défaut fixé à la médiane).</w:t>
      </w:r>
    </w:p>
    <w:p w14:paraId="2A551918" w14:textId="4E8C9E49" w:rsidR="00E23350" w:rsidRDefault="00E23350">
      <w:pPr>
        <w:jc w:val="both"/>
      </w:pPr>
    </w:p>
    <w:p w14:paraId="03A140B2" w14:textId="48AB4818" w:rsidR="00E23350" w:rsidRDefault="00E23350">
      <w:pPr>
        <w:jc w:val="both"/>
      </w:pPr>
      <w:r>
        <w:t>Les résultats du premier lancement du modèle sont présentés ci-dessous :</w:t>
      </w:r>
    </w:p>
    <w:p w14:paraId="29A66C4C" w14:textId="683FD99C" w:rsidR="003E0353" w:rsidRDefault="001D0CFB">
      <w:pPr>
        <w:jc w:val="both"/>
      </w:pPr>
      <w:r w:rsidRPr="001D0CFB">
        <w:rPr>
          <w:noProof/>
          <w:lang w:eastAsia="fr-FR"/>
        </w:rPr>
        <w:lastRenderedPageBreak/>
        <w:drawing>
          <wp:inline distT="0" distB="0" distL="0" distR="0" wp14:anchorId="748C3127" wp14:editId="41468C32">
            <wp:extent cx="6553537" cy="6286823"/>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553537" cy="6286823"/>
                    </a:xfrm>
                    <a:prstGeom prst="rect">
                      <a:avLst/>
                    </a:prstGeom>
                  </pic:spPr>
                </pic:pic>
              </a:graphicData>
            </a:graphic>
          </wp:inline>
        </w:drawing>
      </w:r>
    </w:p>
    <w:p w14:paraId="336AFE14" w14:textId="2C4207F9" w:rsidR="006C5E4D" w:rsidRDefault="006C5E4D" w:rsidP="006C5E4D">
      <w:pPr>
        <w:spacing w:line="276" w:lineRule="auto"/>
        <w:jc w:val="both"/>
      </w:pPr>
      <w:r>
        <w:t>On procède ensuite par itération en retirant l'effet le moins significatif (p-valeur la plus élevée) de la sélection des « </w:t>
      </w:r>
      <w:r w:rsidR="00780DAC">
        <w:t>E</w:t>
      </w:r>
      <w:r>
        <w:t>ffects on median » ou « </w:t>
      </w:r>
      <w:r w:rsidR="00780DAC">
        <w:t>E</w:t>
      </w:r>
      <w:r>
        <w:t>ffects on dispersion » et en relançant le modèle avec le bouton « </w:t>
      </w:r>
      <w:r w:rsidR="00780DAC">
        <w:t>S</w:t>
      </w:r>
      <w:r>
        <w:t>how results » jusqu'à ne conserver que des effets significatifs (p-valeur inférieure à 0,1 %) comme dans la capture d</w:t>
      </w:r>
      <w:r w:rsidR="00A94F7E">
        <w:t>’écran ci-dessous.</w:t>
      </w:r>
    </w:p>
    <w:p w14:paraId="7C38A542" w14:textId="2ED1694D" w:rsidR="00A94F7E" w:rsidRDefault="00A94F7E" w:rsidP="006C5E4D">
      <w:pPr>
        <w:spacing w:line="276" w:lineRule="auto"/>
        <w:jc w:val="both"/>
      </w:pPr>
      <w:r>
        <w:t>Il est enfin possible d’ajouter un commentaire décrivant les résultats obtenus (ex : jeu de données utilisé, variables explicatives étudiées, ensemble de référence choisi, …) et de télécharger les résultats dans un document Word qui contiendra le nom du paramètre étudié, le commentaire de l’utilisateur, le tableau des estimates et le tableau des quantiles (bouton « Download »).</w:t>
      </w:r>
    </w:p>
    <w:p w14:paraId="3145E3B7" w14:textId="31C704F8" w:rsidR="009738EC" w:rsidRDefault="009738EC">
      <w:pPr>
        <w:jc w:val="both"/>
      </w:pPr>
    </w:p>
    <w:p w14:paraId="4F4DD771" w14:textId="0107DC50" w:rsidR="009738EC" w:rsidRDefault="001D0CFB">
      <w:pPr>
        <w:jc w:val="both"/>
      </w:pPr>
      <w:r w:rsidRPr="001D0CFB">
        <w:rPr>
          <w:noProof/>
          <w:lang w:eastAsia="fr-FR"/>
        </w:rPr>
        <w:lastRenderedPageBreak/>
        <w:drawing>
          <wp:inline distT="0" distB="0" distL="0" distR="0" wp14:anchorId="259B9A38" wp14:editId="5D780FD0">
            <wp:extent cx="6610690" cy="6255071"/>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610690" cy="6255071"/>
                    </a:xfrm>
                    <a:prstGeom prst="rect">
                      <a:avLst/>
                    </a:prstGeom>
                  </pic:spPr>
                </pic:pic>
              </a:graphicData>
            </a:graphic>
          </wp:inline>
        </w:drawing>
      </w:r>
    </w:p>
    <w:sectPr w:rsidR="009738EC">
      <w:footerReference w:type="default" r:id="rId19"/>
      <w:pgSz w:w="11906" w:h="16838"/>
      <w:pgMar w:top="720" w:right="720" w:bottom="720" w:left="72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02877" w14:textId="77777777" w:rsidR="005D4B95" w:rsidRDefault="005D4B95">
      <w:pPr>
        <w:spacing w:after="0" w:line="240" w:lineRule="auto"/>
      </w:pPr>
      <w:r>
        <w:separator/>
      </w:r>
    </w:p>
  </w:endnote>
  <w:endnote w:type="continuationSeparator" w:id="0">
    <w:p w14:paraId="61529607" w14:textId="77777777" w:rsidR="005D4B95" w:rsidRDefault="005D4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1"/>
    <w:family w:val="roman"/>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AR PL SungtiL GB">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083674"/>
      <w:docPartObj>
        <w:docPartGallery w:val="Page Numbers (Bottom of Page)"/>
        <w:docPartUnique/>
      </w:docPartObj>
    </w:sdtPr>
    <w:sdtEndPr/>
    <w:sdtContent>
      <w:p w14:paraId="522A38A6" w14:textId="3222D520" w:rsidR="001D0CFB" w:rsidRPr="00AA2A10" w:rsidRDefault="001D0CFB" w:rsidP="001E16E4">
        <w:pPr>
          <w:pStyle w:val="Pieddepage"/>
          <w:rPr>
            <w:i/>
            <w:lang w:val="en-GB"/>
          </w:rPr>
        </w:pPr>
        <w:r>
          <w:fldChar w:fldCharType="begin"/>
        </w:r>
        <w:r>
          <w:instrText>PAGE   \* MERGEFORMAT</w:instrText>
        </w:r>
        <w:r>
          <w:fldChar w:fldCharType="separate"/>
        </w:r>
        <w:r w:rsidR="00FB5FEA">
          <w:rPr>
            <w:noProof/>
          </w:rPr>
          <w:t>1</w:t>
        </w:r>
        <w:r>
          <w:fldChar w:fldCharType="end"/>
        </w:r>
        <w:r>
          <w:t xml:space="preserve">  </w:t>
        </w:r>
        <w:sdt>
          <w:sdtPr>
            <w:id w:val="1295490127"/>
            <w:docPartObj>
              <w:docPartGallery w:val="Page Numbers (Bottom of Page)"/>
              <w:docPartUnique/>
            </w:docPartObj>
          </w:sdtPr>
          <w:sdtEndPr>
            <w:rPr>
              <w:i/>
            </w:rPr>
          </w:sdtEndPr>
          <w:sdtContent>
            <w:r>
              <w:t xml:space="preserve">                                                                            </w:t>
            </w:r>
            <w:r w:rsidRPr="00AA2A10">
              <w:rPr>
                <w:i/>
                <w:lang w:val="en-GB"/>
              </w:rPr>
              <w:t>Eva FALIPOU, Yves LEGAT, Catherine B</w:t>
            </w:r>
            <w:r w:rsidRPr="00AA2A10">
              <w:rPr>
                <w:i/>
              </w:rPr>
              <w:t>OUTIN                          Février 2021</w:t>
            </w:r>
          </w:sdtContent>
        </w:sdt>
      </w:p>
      <w:p w14:paraId="73F38A82" w14:textId="07B8A8A3" w:rsidR="001D0CFB" w:rsidRDefault="005D4B95">
        <w:pPr>
          <w:pStyle w:val="Pieddepage"/>
        </w:pPr>
      </w:p>
    </w:sdtContent>
  </w:sdt>
  <w:p w14:paraId="1EE0F06A" w14:textId="77777777" w:rsidR="001D0CFB" w:rsidRPr="00AA2A10" w:rsidRDefault="001D0C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C95B1C" w14:textId="77777777" w:rsidR="005D4B95" w:rsidRDefault="005D4B95"/>
  </w:footnote>
  <w:footnote w:type="continuationSeparator" w:id="0">
    <w:p w14:paraId="60F4A0C0" w14:textId="77777777" w:rsidR="005D4B95" w:rsidRDefault="005D4B95">
      <w:r>
        <w:continuationSeparator/>
      </w:r>
    </w:p>
  </w:footnote>
  <w:footnote w:id="1">
    <w:p w14:paraId="3D837D51" w14:textId="77777777" w:rsidR="001D0CFB" w:rsidRPr="00BB67FC" w:rsidRDefault="001D0CFB" w:rsidP="005936AB">
      <w:pPr>
        <w:pStyle w:val="Notedebasdepage"/>
        <w:rPr>
          <w:rFonts w:asciiTheme="minorHAnsi" w:hAnsiTheme="minorHAnsi"/>
          <w:lang w:val="fr-FR"/>
        </w:rPr>
      </w:pPr>
      <w:r w:rsidRPr="00BB67FC">
        <w:rPr>
          <w:rStyle w:val="Appelnotedebasdep"/>
          <w:rFonts w:asciiTheme="minorHAnsi" w:hAnsiTheme="minorHAnsi"/>
        </w:rPr>
        <w:footnoteRef/>
      </w:r>
      <w:r w:rsidRPr="00BB67FC">
        <w:rPr>
          <w:rFonts w:asciiTheme="minorHAnsi" w:hAnsiTheme="minorHAnsi"/>
        </w:rPr>
        <w:t xml:space="preserve"> </w:t>
      </w:r>
      <w:r w:rsidRPr="00BB67FC">
        <w:rPr>
          <w:rFonts w:asciiTheme="minorHAnsi" w:hAnsiTheme="minorHAnsi"/>
          <w:lang w:val="fr-FR"/>
        </w:rPr>
        <w:t>L’ensemble de référence retenu est constitué des sous-ensembles d’effectif maximum de chaque variable explicative.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A1DA0"/>
    <w:multiLevelType w:val="multilevel"/>
    <w:tmpl w:val="86F2648A"/>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 w15:restartNumberingAfterBreak="0">
    <w:nsid w:val="09DD1F07"/>
    <w:multiLevelType w:val="multilevel"/>
    <w:tmpl w:val="89005B08"/>
    <w:lvl w:ilvl="0">
      <w:start w:val="1"/>
      <w:numFmt w:val="bullet"/>
      <w:pStyle w:val="Titre1"/>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DF1A42"/>
    <w:multiLevelType w:val="multilevel"/>
    <w:tmpl w:val="061813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236447A"/>
    <w:multiLevelType w:val="multilevel"/>
    <w:tmpl w:val="8FB212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4E71AB1"/>
    <w:multiLevelType w:val="hybridMultilevel"/>
    <w:tmpl w:val="48DEE5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F3637E"/>
    <w:multiLevelType w:val="multilevel"/>
    <w:tmpl w:val="59A230B0"/>
    <w:lvl w:ilvl="0">
      <w:start w:val="1"/>
      <w:numFmt w:val="bullet"/>
      <w:lvlText w:val="o"/>
      <w:lvlJc w:val="left"/>
      <w:pPr>
        <w:ind w:left="1352" w:hanging="360"/>
      </w:pPr>
      <w:rPr>
        <w:rFonts w:ascii="Courier New" w:hAnsi="Courier New" w:cs="Courier New" w:hint="default"/>
      </w:rPr>
    </w:lvl>
    <w:lvl w:ilvl="1">
      <w:start w:val="1"/>
      <w:numFmt w:val="bullet"/>
      <w:lvlText w:val="o"/>
      <w:lvlJc w:val="left"/>
      <w:pPr>
        <w:ind w:left="2072" w:hanging="360"/>
      </w:pPr>
      <w:rPr>
        <w:rFonts w:ascii="Courier New" w:hAnsi="Courier New" w:cs="Courier New" w:hint="default"/>
      </w:rPr>
    </w:lvl>
    <w:lvl w:ilvl="2">
      <w:start w:val="1"/>
      <w:numFmt w:val="bullet"/>
      <w:lvlText w:val=""/>
      <w:lvlJc w:val="left"/>
      <w:pPr>
        <w:ind w:left="2792" w:hanging="360"/>
      </w:pPr>
      <w:rPr>
        <w:rFonts w:ascii="Wingdings" w:hAnsi="Wingdings" w:cs="Wingdings" w:hint="default"/>
      </w:rPr>
    </w:lvl>
    <w:lvl w:ilvl="3">
      <w:start w:val="1"/>
      <w:numFmt w:val="bullet"/>
      <w:lvlText w:val=""/>
      <w:lvlJc w:val="left"/>
      <w:pPr>
        <w:ind w:left="3512" w:hanging="360"/>
      </w:pPr>
      <w:rPr>
        <w:rFonts w:ascii="Symbol" w:hAnsi="Symbol" w:cs="Symbol" w:hint="default"/>
      </w:rPr>
    </w:lvl>
    <w:lvl w:ilvl="4">
      <w:start w:val="1"/>
      <w:numFmt w:val="bullet"/>
      <w:lvlText w:val="o"/>
      <w:lvlJc w:val="left"/>
      <w:pPr>
        <w:ind w:left="4232" w:hanging="360"/>
      </w:pPr>
      <w:rPr>
        <w:rFonts w:ascii="Courier New" w:hAnsi="Courier New" w:cs="Courier New" w:hint="default"/>
      </w:rPr>
    </w:lvl>
    <w:lvl w:ilvl="5">
      <w:start w:val="1"/>
      <w:numFmt w:val="bullet"/>
      <w:lvlText w:val=""/>
      <w:lvlJc w:val="left"/>
      <w:pPr>
        <w:ind w:left="4952" w:hanging="360"/>
      </w:pPr>
      <w:rPr>
        <w:rFonts w:ascii="Wingdings" w:hAnsi="Wingdings" w:cs="Wingdings" w:hint="default"/>
      </w:rPr>
    </w:lvl>
    <w:lvl w:ilvl="6">
      <w:start w:val="1"/>
      <w:numFmt w:val="bullet"/>
      <w:lvlText w:val=""/>
      <w:lvlJc w:val="left"/>
      <w:pPr>
        <w:ind w:left="5672" w:hanging="360"/>
      </w:pPr>
      <w:rPr>
        <w:rFonts w:ascii="Symbol" w:hAnsi="Symbol" w:cs="Symbol" w:hint="default"/>
      </w:rPr>
    </w:lvl>
    <w:lvl w:ilvl="7">
      <w:start w:val="1"/>
      <w:numFmt w:val="bullet"/>
      <w:lvlText w:val="o"/>
      <w:lvlJc w:val="left"/>
      <w:pPr>
        <w:ind w:left="6392" w:hanging="360"/>
      </w:pPr>
      <w:rPr>
        <w:rFonts w:ascii="Courier New" w:hAnsi="Courier New" w:cs="Courier New" w:hint="default"/>
      </w:rPr>
    </w:lvl>
    <w:lvl w:ilvl="8">
      <w:start w:val="1"/>
      <w:numFmt w:val="bullet"/>
      <w:lvlText w:val=""/>
      <w:lvlJc w:val="left"/>
      <w:pPr>
        <w:ind w:left="7112" w:hanging="360"/>
      </w:pPr>
      <w:rPr>
        <w:rFonts w:ascii="Wingdings" w:hAnsi="Wingdings" w:cs="Wingdings" w:hint="default"/>
      </w:rPr>
    </w:lvl>
  </w:abstractNum>
  <w:abstractNum w:abstractNumId="6" w15:restartNumberingAfterBreak="0">
    <w:nsid w:val="2E621B04"/>
    <w:multiLevelType w:val="multilevel"/>
    <w:tmpl w:val="3D6496A8"/>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7" w15:restartNumberingAfterBreak="0">
    <w:nsid w:val="35053EB0"/>
    <w:multiLevelType w:val="multilevel"/>
    <w:tmpl w:val="56D0E85E"/>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8" w15:restartNumberingAfterBreak="0">
    <w:nsid w:val="3CBF32B3"/>
    <w:multiLevelType w:val="multilevel"/>
    <w:tmpl w:val="6C3A53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46393215"/>
    <w:multiLevelType w:val="multilevel"/>
    <w:tmpl w:val="3AFAE9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4EDD3761"/>
    <w:multiLevelType w:val="multilevel"/>
    <w:tmpl w:val="8DACA168"/>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1" w15:restartNumberingAfterBreak="0">
    <w:nsid w:val="5C253030"/>
    <w:multiLevelType w:val="multilevel"/>
    <w:tmpl w:val="9634D09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61442BD9"/>
    <w:multiLevelType w:val="multilevel"/>
    <w:tmpl w:val="B260A9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70FC4A1D"/>
    <w:multiLevelType w:val="multilevel"/>
    <w:tmpl w:val="F310548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753D00BB"/>
    <w:multiLevelType w:val="multilevel"/>
    <w:tmpl w:val="733AF094"/>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78AB1523"/>
    <w:multiLevelType w:val="multilevel"/>
    <w:tmpl w:val="3F60CDF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11"/>
  </w:num>
  <w:num w:numId="3">
    <w:abstractNumId w:val="8"/>
  </w:num>
  <w:num w:numId="4">
    <w:abstractNumId w:val="6"/>
  </w:num>
  <w:num w:numId="5">
    <w:abstractNumId w:val="3"/>
  </w:num>
  <w:num w:numId="6">
    <w:abstractNumId w:val="9"/>
  </w:num>
  <w:num w:numId="7">
    <w:abstractNumId w:val="5"/>
  </w:num>
  <w:num w:numId="8">
    <w:abstractNumId w:val="2"/>
  </w:num>
  <w:num w:numId="9">
    <w:abstractNumId w:val="7"/>
  </w:num>
  <w:num w:numId="10">
    <w:abstractNumId w:val="0"/>
  </w:num>
  <w:num w:numId="11">
    <w:abstractNumId w:val="10"/>
  </w:num>
  <w:num w:numId="12">
    <w:abstractNumId w:val="12"/>
  </w:num>
  <w:num w:numId="13">
    <w:abstractNumId w:val="13"/>
  </w:num>
  <w:num w:numId="14">
    <w:abstractNumId w:val="14"/>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5FE"/>
    <w:rsid w:val="00010188"/>
    <w:rsid w:val="00054B30"/>
    <w:rsid w:val="00057B46"/>
    <w:rsid w:val="0006157B"/>
    <w:rsid w:val="00084576"/>
    <w:rsid w:val="00096216"/>
    <w:rsid w:val="000A5725"/>
    <w:rsid w:val="000E38D6"/>
    <w:rsid w:val="00130645"/>
    <w:rsid w:val="00146E00"/>
    <w:rsid w:val="00167695"/>
    <w:rsid w:val="00194F3E"/>
    <w:rsid w:val="001B3C27"/>
    <w:rsid w:val="001C5083"/>
    <w:rsid w:val="001D0CFB"/>
    <w:rsid w:val="001D50FA"/>
    <w:rsid w:val="001E16E4"/>
    <w:rsid w:val="001E4B09"/>
    <w:rsid w:val="001F07AF"/>
    <w:rsid w:val="00257EF6"/>
    <w:rsid w:val="002C4285"/>
    <w:rsid w:val="002D442D"/>
    <w:rsid w:val="003354B6"/>
    <w:rsid w:val="00335FFA"/>
    <w:rsid w:val="00347EFF"/>
    <w:rsid w:val="00353C31"/>
    <w:rsid w:val="00390D2D"/>
    <w:rsid w:val="003B5AA8"/>
    <w:rsid w:val="003B6A19"/>
    <w:rsid w:val="003E0353"/>
    <w:rsid w:val="003E1D4B"/>
    <w:rsid w:val="003F0771"/>
    <w:rsid w:val="00421989"/>
    <w:rsid w:val="004255C4"/>
    <w:rsid w:val="00434F01"/>
    <w:rsid w:val="00465F58"/>
    <w:rsid w:val="005354C5"/>
    <w:rsid w:val="005451F8"/>
    <w:rsid w:val="0055240E"/>
    <w:rsid w:val="005530D8"/>
    <w:rsid w:val="005725EF"/>
    <w:rsid w:val="0058489F"/>
    <w:rsid w:val="00586C1F"/>
    <w:rsid w:val="00593619"/>
    <w:rsid w:val="005936AB"/>
    <w:rsid w:val="005D0054"/>
    <w:rsid w:val="005D07E3"/>
    <w:rsid w:val="005D4B95"/>
    <w:rsid w:val="00601BAD"/>
    <w:rsid w:val="00603B57"/>
    <w:rsid w:val="006065C3"/>
    <w:rsid w:val="006743FD"/>
    <w:rsid w:val="006964E3"/>
    <w:rsid w:val="006B4331"/>
    <w:rsid w:val="006C5E4D"/>
    <w:rsid w:val="006E3459"/>
    <w:rsid w:val="00700F76"/>
    <w:rsid w:val="0073434D"/>
    <w:rsid w:val="007564FB"/>
    <w:rsid w:val="00780DAC"/>
    <w:rsid w:val="007A7C6C"/>
    <w:rsid w:val="007C0ACD"/>
    <w:rsid w:val="007C56BF"/>
    <w:rsid w:val="007C70E1"/>
    <w:rsid w:val="007D5A79"/>
    <w:rsid w:val="007F363D"/>
    <w:rsid w:val="00810938"/>
    <w:rsid w:val="008136F6"/>
    <w:rsid w:val="0082758D"/>
    <w:rsid w:val="00836576"/>
    <w:rsid w:val="008678F9"/>
    <w:rsid w:val="008973AE"/>
    <w:rsid w:val="008E62DD"/>
    <w:rsid w:val="009100C0"/>
    <w:rsid w:val="0093762F"/>
    <w:rsid w:val="00941723"/>
    <w:rsid w:val="009738EC"/>
    <w:rsid w:val="00980302"/>
    <w:rsid w:val="0099792D"/>
    <w:rsid w:val="009C1637"/>
    <w:rsid w:val="009C4DB4"/>
    <w:rsid w:val="00A21912"/>
    <w:rsid w:val="00A34B38"/>
    <w:rsid w:val="00A61663"/>
    <w:rsid w:val="00A865A1"/>
    <w:rsid w:val="00A94F7E"/>
    <w:rsid w:val="00AA2A10"/>
    <w:rsid w:val="00AB3709"/>
    <w:rsid w:val="00AB47A4"/>
    <w:rsid w:val="00B1548E"/>
    <w:rsid w:val="00B27750"/>
    <w:rsid w:val="00B37D97"/>
    <w:rsid w:val="00B51623"/>
    <w:rsid w:val="00B61CD1"/>
    <w:rsid w:val="00B72C68"/>
    <w:rsid w:val="00BB67FC"/>
    <w:rsid w:val="00BB7927"/>
    <w:rsid w:val="00BC7550"/>
    <w:rsid w:val="00C644DD"/>
    <w:rsid w:val="00C82F6D"/>
    <w:rsid w:val="00C8434F"/>
    <w:rsid w:val="00C92317"/>
    <w:rsid w:val="00CA5A83"/>
    <w:rsid w:val="00D435FE"/>
    <w:rsid w:val="00DA3E32"/>
    <w:rsid w:val="00DE5AE3"/>
    <w:rsid w:val="00E0441E"/>
    <w:rsid w:val="00E0495B"/>
    <w:rsid w:val="00E23350"/>
    <w:rsid w:val="00E35F6B"/>
    <w:rsid w:val="00E46550"/>
    <w:rsid w:val="00E6712B"/>
    <w:rsid w:val="00EA7A68"/>
    <w:rsid w:val="00EC2C93"/>
    <w:rsid w:val="00F17A73"/>
    <w:rsid w:val="00F53763"/>
    <w:rsid w:val="00F55230"/>
    <w:rsid w:val="00F831CB"/>
    <w:rsid w:val="00F83722"/>
    <w:rsid w:val="00FB5FEA"/>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52102"/>
  <w15:docId w15:val="{E8AFA7D4-7E03-42AE-86EE-644D86DD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itre1">
    <w:name w:val="heading 1"/>
    <w:basedOn w:val="Normal"/>
    <w:link w:val="Titre1Car"/>
    <w:qFormat/>
    <w:rsid w:val="00AA2A10"/>
    <w:pPr>
      <w:widowControl w:val="0"/>
      <w:numPr>
        <w:numId w:val="1"/>
      </w:numPr>
      <w:spacing w:after="0" w:line="276" w:lineRule="auto"/>
      <w:jc w:val="both"/>
      <w:outlineLvl w:val="0"/>
    </w:pPr>
    <w:rPr>
      <w:rFonts w:cs="Arial"/>
      <w:b/>
      <w:sz w:val="24"/>
      <w:szCs w:val="20"/>
    </w:rPr>
  </w:style>
  <w:style w:type="paragraph" w:styleId="Titre2">
    <w:name w:val="heading 2"/>
    <w:basedOn w:val="Normal"/>
    <w:next w:val="Normal"/>
    <w:link w:val="Titre2Car"/>
    <w:uiPriority w:val="9"/>
    <w:unhideWhenUsed/>
    <w:qFormat/>
    <w:rsid w:val="00AA2A10"/>
    <w:pPr>
      <w:jc w:val="both"/>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AA2A10"/>
    <w:rPr>
      <w:rFonts w:cs="Arial"/>
      <w:b/>
      <w:sz w:val="24"/>
      <w:szCs w:val="20"/>
    </w:rPr>
  </w:style>
  <w:style w:type="character" w:customStyle="1" w:styleId="CorpsdetexteCar">
    <w:name w:val="Corps de texte Car"/>
    <w:basedOn w:val="Policepardfaut"/>
    <w:link w:val="Corpsdetexte"/>
    <w:qFormat/>
    <w:rsid w:val="0000684B"/>
    <w:rPr>
      <w:rFonts w:ascii="Helvetica" w:eastAsia="Times New Roman" w:hAnsi="Helvetica" w:cs="Tahoma"/>
      <w:sz w:val="24"/>
      <w:szCs w:val="24"/>
    </w:rPr>
  </w:style>
  <w:style w:type="character" w:customStyle="1" w:styleId="NotedebasdepageCar">
    <w:name w:val="Note de bas de page Car"/>
    <w:basedOn w:val="Policepardfaut"/>
    <w:link w:val="Notedebasdepage"/>
    <w:uiPriority w:val="99"/>
    <w:qFormat/>
    <w:rsid w:val="0000684B"/>
    <w:rPr>
      <w:rFonts w:ascii="Arial" w:eastAsia="Times New Roman" w:hAnsi="Arial" w:cs="Times New Roman"/>
      <w:sz w:val="20"/>
      <w:szCs w:val="20"/>
      <w:lang w:val="x-none" w:eastAsia="x-none"/>
    </w:rPr>
  </w:style>
  <w:style w:type="character" w:customStyle="1" w:styleId="Ancredenotedebasdepage">
    <w:name w:val="Ancre de note de bas de page"/>
    <w:rPr>
      <w:vertAlign w:val="superscript"/>
    </w:rPr>
  </w:style>
  <w:style w:type="character" w:customStyle="1" w:styleId="FootnoteCharacters">
    <w:name w:val="Footnote Characters"/>
    <w:uiPriority w:val="99"/>
    <w:semiHidden/>
    <w:qFormat/>
    <w:rsid w:val="0000684B"/>
    <w:rPr>
      <w:vertAlign w:val="superscript"/>
    </w:rPr>
  </w:style>
  <w:style w:type="character" w:customStyle="1" w:styleId="PrformatHTMLCar">
    <w:name w:val="Préformaté HTML Car"/>
    <w:basedOn w:val="Policepardfaut"/>
    <w:link w:val="PrformatHTML"/>
    <w:uiPriority w:val="99"/>
    <w:semiHidden/>
    <w:qFormat/>
    <w:rsid w:val="00B76D3F"/>
    <w:rPr>
      <w:rFonts w:ascii="Courier New" w:eastAsia="Times New Roman" w:hAnsi="Courier New" w:cs="Courier New"/>
      <w:sz w:val="20"/>
      <w:szCs w:val="20"/>
      <w:lang w:eastAsia="fr-FR"/>
    </w:rPr>
  </w:style>
  <w:style w:type="character" w:customStyle="1" w:styleId="gd15mcfceub">
    <w:name w:val="gd15mcfceub"/>
    <w:basedOn w:val="Policepardfaut"/>
    <w:qFormat/>
    <w:rsid w:val="00B76D3F"/>
  </w:style>
  <w:style w:type="character" w:customStyle="1" w:styleId="TextedebullesCar">
    <w:name w:val="Texte de bulles Car"/>
    <w:basedOn w:val="Policepardfaut"/>
    <w:link w:val="Textedebulles"/>
    <w:uiPriority w:val="99"/>
    <w:semiHidden/>
    <w:qFormat/>
    <w:rsid w:val="00B31E41"/>
    <w:rPr>
      <w:rFonts w:ascii="Segoe UI" w:hAnsi="Segoe UI" w:cs="Segoe UI"/>
      <w:sz w:val="18"/>
      <w:szCs w:val="18"/>
    </w:rPr>
  </w:style>
  <w:style w:type="character" w:styleId="Marquedecommentaire">
    <w:name w:val="annotation reference"/>
    <w:basedOn w:val="Policepardfaut"/>
    <w:uiPriority w:val="99"/>
    <w:semiHidden/>
    <w:unhideWhenUsed/>
    <w:qFormat/>
    <w:rsid w:val="008F7EBB"/>
    <w:rPr>
      <w:sz w:val="16"/>
      <w:szCs w:val="16"/>
    </w:rPr>
  </w:style>
  <w:style w:type="character" w:customStyle="1" w:styleId="CommentaireCar">
    <w:name w:val="Commentaire Car"/>
    <w:basedOn w:val="Policepardfaut"/>
    <w:link w:val="Commentaire"/>
    <w:uiPriority w:val="99"/>
    <w:semiHidden/>
    <w:qFormat/>
    <w:rsid w:val="008F7EBB"/>
    <w:rPr>
      <w:sz w:val="20"/>
      <w:szCs w:val="20"/>
    </w:rPr>
  </w:style>
  <w:style w:type="character" w:customStyle="1" w:styleId="ObjetducommentaireCar">
    <w:name w:val="Objet du commentaire Car"/>
    <w:basedOn w:val="CommentaireCar"/>
    <w:link w:val="Objetducommentaire"/>
    <w:uiPriority w:val="99"/>
    <w:semiHidden/>
    <w:qFormat/>
    <w:rsid w:val="008F7EBB"/>
    <w:rPr>
      <w:b/>
      <w:bCs/>
      <w:sz w:val="20"/>
      <w:szCs w:val="20"/>
    </w:rPr>
  </w:style>
  <w:style w:type="character" w:styleId="MachinecrireHTML">
    <w:name w:val="HTML Typewriter"/>
    <w:basedOn w:val="Policepardfaut"/>
    <w:uiPriority w:val="99"/>
    <w:semiHidden/>
    <w:unhideWhenUsed/>
    <w:qFormat/>
    <w:rsid w:val="00374BA9"/>
    <w:rPr>
      <w:rFonts w:ascii="Courier New" w:eastAsia="Times New Roman" w:hAnsi="Courier New" w:cs="Courier New"/>
      <w:sz w:val="20"/>
      <w:szCs w:val="20"/>
    </w:rPr>
  </w:style>
  <w:style w:type="character" w:customStyle="1" w:styleId="LienInternet">
    <w:name w:val="Lien Internet"/>
    <w:basedOn w:val="Policepardfaut"/>
    <w:uiPriority w:val="99"/>
    <w:semiHidden/>
    <w:unhideWhenUsed/>
    <w:rsid w:val="0069458C"/>
    <w:rPr>
      <w:color w:val="0000FF"/>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eastAsia="Calibri"/>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eastAsia="Calibri" w:cs="Calibri"/>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eastAsia="Calibri" w:cs="Calibri"/>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sz w:val="20"/>
      <w:szCs w:val="20"/>
    </w:rPr>
  </w:style>
  <w:style w:type="character" w:customStyle="1" w:styleId="Caractresdenotedebasdepage">
    <w:name w:val="Caractères de note de bas de page"/>
    <w:qFormat/>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rPr>
  </w:style>
  <w:style w:type="paragraph" w:styleId="Corpsdetexte">
    <w:name w:val="Body Text"/>
    <w:basedOn w:val="Normal"/>
    <w:link w:val="CorpsdetexteCar"/>
    <w:rsid w:val="0000684B"/>
    <w:pPr>
      <w:widowControl w:val="0"/>
      <w:spacing w:after="120" w:line="240" w:lineRule="auto"/>
      <w:jc w:val="both"/>
    </w:pPr>
    <w:rPr>
      <w:rFonts w:ascii="Helvetica" w:eastAsia="Times New Roman" w:hAnsi="Helvetica" w:cs="Tahoma"/>
      <w:sz w:val="24"/>
      <w:szCs w:val="24"/>
    </w:rPr>
  </w:style>
  <w:style w:type="paragraph" w:styleId="Liste">
    <w:name w:val="List"/>
    <w:basedOn w:val="Corpsdetexte"/>
    <w:rPr>
      <w:rFonts w:cs="Lohit Devanagari"/>
    </w:rPr>
  </w:style>
  <w:style w:type="paragraph" w:styleId="Lgende">
    <w:name w:val="caption"/>
    <w:basedOn w:val="Normal"/>
    <w:uiPriority w:val="35"/>
    <w:qFormat/>
    <w:rsid w:val="0000684B"/>
    <w:pPr>
      <w:widowControl w:val="0"/>
      <w:spacing w:before="120" w:after="120" w:line="240" w:lineRule="auto"/>
      <w:jc w:val="center"/>
    </w:pPr>
    <w:rPr>
      <w:rFonts w:ascii="Arial" w:eastAsia="Times New Roman" w:hAnsi="Arial" w:cs="Tahoma"/>
      <w:i/>
      <w:iCs/>
      <w:sz w:val="18"/>
      <w:szCs w:val="24"/>
    </w:rPr>
  </w:style>
  <w:style w:type="paragraph" w:customStyle="1" w:styleId="Index">
    <w:name w:val="Index"/>
    <w:basedOn w:val="Normal"/>
    <w:qFormat/>
    <w:pPr>
      <w:suppressLineNumbers/>
    </w:pPr>
    <w:rPr>
      <w:rFonts w:cs="Lohit Devanagari"/>
    </w:rPr>
  </w:style>
  <w:style w:type="paragraph" w:styleId="Notedebasdepage">
    <w:name w:val="footnote text"/>
    <w:basedOn w:val="Normal"/>
    <w:link w:val="NotedebasdepageCar"/>
    <w:uiPriority w:val="99"/>
    <w:rsid w:val="0000684B"/>
    <w:pPr>
      <w:spacing w:after="0" w:line="240" w:lineRule="auto"/>
      <w:jc w:val="both"/>
    </w:pPr>
    <w:rPr>
      <w:rFonts w:ascii="Arial" w:eastAsia="Times New Roman" w:hAnsi="Arial" w:cs="Times New Roman"/>
      <w:sz w:val="20"/>
      <w:szCs w:val="20"/>
      <w:lang w:val="x-none" w:eastAsia="x-none"/>
    </w:rPr>
  </w:style>
  <w:style w:type="paragraph" w:styleId="Paragraphedeliste">
    <w:name w:val="List Paragraph"/>
    <w:basedOn w:val="Normal"/>
    <w:uiPriority w:val="34"/>
    <w:qFormat/>
    <w:rsid w:val="00836744"/>
    <w:pPr>
      <w:ind w:left="720"/>
      <w:contextualSpacing/>
    </w:pPr>
  </w:style>
  <w:style w:type="paragraph" w:styleId="PrformatHTML">
    <w:name w:val="HTML Preformatted"/>
    <w:basedOn w:val="Normal"/>
    <w:link w:val="PrformatHTMLCar"/>
    <w:uiPriority w:val="99"/>
    <w:semiHidden/>
    <w:unhideWhenUsed/>
    <w:qFormat/>
    <w:rsid w:val="00B76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paragraph" w:styleId="Textedebulles">
    <w:name w:val="Balloon Text"/>
    <w:basedOn w:val="Normal"/>
    <w:link w:val="TextedebullesCar"/>
    <w:uiPriority w:val="99"/>
    <w:semiHidden/>
    <w:unhideWhenUsed/>
    <w:qFormat/>
    <w:rsid w:val="00B31E41"/>
    <w:pPr>
      <w:spacing w:after="0" w:line="240" w:lineRule="auto"/>
    </w:pPr>
    <w:rPr>
      <w:rFonts w:ascii="Segoe UI" w:hAnsi="Segoe UI" w:cs="Segoe UI"/>
      <w:sz w:val="18"/>
      <w:szCs w:val="18"/>
    </w:rPr>
  </w:style>
  <w:style w:type="paragraph" w:styleId="Commentaire">
    <w:name w:val="annotation text"/>
    <w:basedOn w:val="Normal"/>
    <w:link w:val="CommentaireCar"/>
    <w:uiPriority w:val="99"/>
    <w:semiHidden/>
    <w:unhideWhenUsed/>
    <w:qFormat/>
    <w:rsid w:val="008F7EBB"/>
    <w:pPr>
      <w:spacing w:line="240" w:lineRule="auto"/>
    </w:pPr>
    <w:rPr>
      <w:sz w:val="20"/>
      <w:szCs w:val="20"/>
    </w:rPr>
  </w:style>
  <w:style w:type="paragraph" w:styleId="Objetducommentaire">
    <w:name w:val="annotation subject"/>
    <w:basedOn w:val="Commentaire"/>
    <w:link w:val="ObjetducommentaireCar"/>
    <w:uiPriority w:val="99"/>
    <w:semiHidden/>
    <w:unhideWhenUsed/>
    <w:qFormat/>
    <w:rsid w:val="008F7EBB"/>
    <w:rPr>
      <w:b/>
      <w:bCs/>
    </w:rPr>
  </w:style>
  <w:style w:type="paragraph" w:customStyle="1" w:styleId="Contenudecadre">
    <w:name w:val="Contenu de cadre"/>
    <w:basedOn w:val="Normal"/>
    <w:qFormat/>
  </w:style>
  <w:style w:type="table" w:styleId="Grilledutableau">
    <w:name w:val="Table Grid"/>
    <w:basedOn w:val="TableauNormal"/>
    <w:uiPriority w:val="39"/>
    <w:rsid w:val="00685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B61CD1"/>
    <w:pPr>
      <w:tabs>
        <w:tab w:val="center" w:pos="4536"/>
        <w:tab w:val="right" w:pos="9072"/>
      </w:tabs>
      <w:spacing w:after="0" w:line="240" w:lineRule="auto"/>
    </w:pPr>
  </w:style>
  <w:style w:type="character" w:customStyle="1" w:styleId="En-tteCar">
    <w:name w:val="En-tête Car"/>
    <w:basedOn w:val="Policepardfaut"/>
    <w:link w:val="En-tte"/>
    <w:uiPriority w:val="99"/>
    <w:rsid w:val="00B61CD1"/>
  </w:style>
  <w:style w:type="paragraph" w:styleId="Pieddepage">
    <w:name w:val="footer"/>
    <w:basedOn w:val="Normal"/>
    <w:link w:val="PieddepageCar"/>
    <w:uiPriority w:val="99"/>
    <w:unhideWhenUsed/>
    <w:rsid w:val="00B61C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61CD1"/>
  </w:style>
  <w:style w:type="character" w:styleId="Appelnotedebasdep">
    <w:name w:val="footnote reference"/>
    <w:basedOn w:val="Policepardfaut"/>
    <w:uiPriority w:val="99"/>
    <w:semiHidden/>
    <w:unhideWhenUsed/>
    <w:qFormat/>
    <w:rsid w:val="00054B30"/>
    <w:rPr>
      <w:vertAlign w:val="superscript"/>
    </w:rPr>
  </w:style>
  <w:style w:type="paragraph" w:styleId="En-ttedetabledesmatires">
    <w:name w:val="TOC Heading"/>
    <w:basedOn w:val="Titre1"/>
    <w:next w:val="Normal"/>
    <w:uiPriority w:val="39"/>
    <w:unhideWhenUsed/>
    <w:qFormat/>
    <w:rsid w:val="00AA2A10"/>
    <w:pPr>
      <w:keepNext/>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sz w:val="32"/>
      <w:szCs w:val="32"/>
      <w:lang w:eastAsia="fr-FR"/>
    </w:rPr>
  </w:style>
  <w:style w:type="paragraph" w:styleId="TM1">
    <w:name w:val="toc 1"/>
    <w:basedOn w:val="Normal"/>
    <w:next w:val="Normal"/>
    <w:autoRedefine/>
    <w:uiPriority w:val="39"/>
    <w:unhideWhenUsed/>
    <w:rsid w:val="00AA2A10"/>
    <w:pPr>
      <w:spacing w:after="100"/>
    </w:pPr>
  </w:style>
  <w:style w:type="character" w:styleId="Lienhypertexte">
    <w:name w:val="Hyperlink"/>
    <w:basedOn w:val="Policepardfaut"/>
    <w:uiPriority w:val="99"/>
    <w:unhideWhenUsed/>
    <w:rsid w:val="00AA2A10"/>
    <w:rPr>
      <w:color w:val="0563C1" w:themeColor="hyperlink"/>
      <w:u w:val="single"/>
    </w:rPr>
  </w:style>
  <w:style w:type="character" w:customStyle="1" w:styleId="Titre2Car">
    <w:name w:val="Titre 2 Car"/>
    <w:basedOn w:val="Policepardfaut"/>
    <w:link w:val="Titre2"/>
    <w:uiPriority w:val="9"/>
    <w:rsid w:val="00AA2A10"/>
    <w:rPr>
      <w:b/>
    </w:rPr>
  </w:style>
  <w:style w:type="paragraph" w:styleId="TM2">
    <w:name w:val="toc 2"/>
    <w:basedOn w:val="Normal"/>
    <w:next w:val="Normal"/>
    <w:autoRedefine/>
    <w:uiPriority w:val="39"/>
    <w:unhideWhenUsed/>
    <w:rsid w:val="007D5A79"/>
    <w:pPr>
      <w:spacing w:after="100"/>
      <w:ind w:left="220"/>
    </w:pPr>
  </w:style>
  <w:style w:type="character" w:styleId="Lienhypertextesuivivisit">
    <w:name w:val="FollowedHyperlink"/>
    <w:basedOn w:val="Policepardfaut"/>
    <w:uiPriority w:val="99"/>
    <w:semiHidden/>
    <w:unhideWhenUsed/>
    <w:rsid w:val="000101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hal.inrae.fr/hal-02606167v1" TargetMode="External"/><Relationship Id="rId13" Type="http://schemas.openxmlformats.org/officeDocument/2006/relationships/hyperlink" Target="https://gitlab.irstea.fr/" TargetMode="External"/><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931DD-E05C-41B2-8597-7D6F48B73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5319</Words>
  <Characters>29259</Characters>
  <Application>Microsoft Office Word</Application>
  <DocSecurity>0</DocSecurity>
  <Lines>243</Lines>
  <Paragraphs>69</Paragraphs>
  <ScaleCrop>false</ScaleCrop>
  <HeadingPairs>
    <vt:vector size="2" baseType="variant">
      <vt:variant>
        <vt:lpstr>Titre</vt:lpstr>
      </vt:variant>
      <vt:variant>
        <vt:i4>1</vt:i4>
      </vt:variant>
    </vt:vector>
  </HeadingPairs>
  <TitlesOfParts>
    <vt:vector size="1" baseType="lpstr">
      <vt:lpstr/>
    </vt:vector>
  </TitlesOfParts>
  <Company>IRSTEA</Company>
  <LinksUpToDate>false</LinksUpToDate>
  <CharactersWithSpaces>34509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Falipou Eva</dc:creator>
  <dc:description/>
  <cp:lastModifiedBy>Falipou Eva</cp:lastModifiedBy>
  <cp:revision>2</cp:revision>
  <dcterms:created xsi:type="dcterms:W3CDTF">2021-02-19T10:19:00Z</dcterms:created>
  <dcterms:modified xsi:type="dcterms:W3CDTF">2021-02-19T10:19:00Z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IRSTEA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